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A54" w:rsidRDefault="00212A54" w:rsidP="006B373E">
      <w:pPr>
        <w:tabs>
          <w:tab w:val="left" w:pos="567"/>
          <w:tab w:val="left" w:pos="709"/>
          <w:tab w:val="left" w:pos="1560"/>
        </w:tabs>
        <w:ind w:firstLine="709"/>
        <w:jc w:val="center"/>
        <w:rPr>
          <w:b/>
          <w:caps/>
          <w:szCs w:val="24"/>
        </w:rPr>
      </w:pPr>
    </w:p>
    <w:p w:rsidR="006B373E" w:rsidRDefault="006B373E" w:rsidP="006B373E">
      <w:pPr>
        <w:tabs>
          <w:tab w:val="left" w:pos="567"/>
          <w:tab w:val="left" w:pos="709"/>
          <w:tab w:val="left" w:pos="1560"/>
        </w:tabs>
        <w:ind w:firstLine="709"/>
        <w:jc w:val="center"/>
        <w:rPr>
          <w:b/>
          <w:caps/>
          <w:szCs w:val="24"/>
        </w:rPr>
      </w:pPr>
      <w:r>
        <w:rPr>
          <w:b/>
          <w:caps/>
          <w:szCs w:val="24"/>
        </w:rPr>
        <w:t>KLAIPĖDOS MIESTO SAVIVALDYBĖS ADMINISTRACIJOS UGDYMO IR KULTŪROS DEPARTAMENTO ŠVIETIMO SKYRIAUS 2017 METŲ VEIKLOS ATASKAITa</w:t>
      </w:r>
    </w:p>
    <w:p w:rsidR="006B373E" w:rsidRDefault="006B373E" w:rsidP="006B373E">
      <w:pPr>
        <w:tabs>
          <w:tab w:val="left" w:pos="567"/>
          <w:tab w:val="left" w:pos="709"/>
          <w:tab w:val="left" w:pos="1560"/>
        </w:tabs>
        <w:ind w:firstLine="709"/>
        <w:jc w:val="center"/>
        <w:rPr>
          <w:b/>
          <w:caps/>
          <w:szCs w:val="24"/>
        </w:rPr>
      </w:pPr>
    </w:p>
    <w:p w:rsidR="006B373E" w:rsidRDefault="006B373E" w:rsidP="006B373E">
      <w:pPr>
        <w:tabs>
          <w:tab w:val="left" w:pos="567"/>
          <w:tab w:val="left" w:pos="709"/>
          <w:tab w:val="left" w:pos="1560"/>
        </w:tabs>
        <w:ind w:firstLine="709"/>
        <w:jc w:val="center"/>
        <w:rPr>
          <w:szCs w:val="24"/>
        </w:rPr>
      </w:pPr>
    </w:p>
    <w:p w:rsidR="006B373E" w:rsidRDefault="006B373E" w:rsidP="006B373E">
      <w:pPr>
        <w:tabs>
          <w:tab w:val="left" w:pos="567"/>
          <w:tab w:val="left" w:pos="709"/>
          <w:tab w:val="left" w:pos="1560"/>
        </w:tabs>
        <w:ind w:firstLine="709"/>
        <w:jc w:val="both"/>
        <w:rPr>
          <w:szCs w:val="24"/>
        </w:rPr>
      </w:pPr>
      <w:r>
        <w:rPr>
          <w:szCs w:val="24"/>
        </w:rPr>
        <w:t>1. Ugdymo ir kultūros departamento Švietimo skyrius (toliau – Skyrius) 2017 metais:</w:t>
      </w:r>
    </w:p>
    <w:p w:rsidR="006B373E" w:rsidRDefault="006B373E" w:rsidP="006B373E">
      <w:pPr>
        <w:tabs>
          <w:tab w:val="left" w:pos="567"/>
          <w:tab w:val="left" w:pos="709"/>
          <w:tab w:val="left" w:pos="1560"/>
        </w:tabs>
        <w:ind w:firstLine="709"/>
        <w:jc w:val="both"/>
        <w:rPr>
          <w:szCs w:val="24"/>
        </w:rPr>
      </w:pPr>
      <w:r>
        <w:rPr>
          <w:szCs w:val="24"/>
        </w:rPr>
        <w:t>1.1. siekė strateginio tikslo – teikti kokybiškas švietimo paslaugas Klaipėdos miesto savivaldybės švietimo įstaigose, saugioje ir šiuolaikinius reikalavimus atitinkančioje mokymosi aplinkoje, siekti visapusiško mokymo proceso dalyvių poreikių tenkinimo, optimizuojant švietimo sistemą;</w:t>
      </w:r>
    </w:p>
    <w:p w:rsidR="006B373E" w:rsidRDefault="006B373E" w:rsidP="006B373E">
      <w:pPr>
        <w:tabs>
          <w:tab w:val="left" w:pos="5073"/>
        </w:tabs>
        <w:ind w:firstLine="709"/>
        <w:jc w:val="both"/>
        <w:rPr>
          <w:szCs w:val="24"/>
        </w:rPr>
      </w:pPr>
      <w:r>
        <w:rPr>
          <w:szCs w:val="24"/>
        </w:rPr>
        <w:t>1.2. organizavo Ugdymo proceso užtikrinimo programos (10) (SVP) įgyvendinimą;</w:t>
      </w:r>
    </w:p>
    <w:p w:rsidR="006B373E" w:rsidRDefault="006B373E" w:rsidP="006B373E">
      <w:pPr>
        <w:tabs>
          <w:tab w:val="left" w:pos="709"/>
          <w:tab w:val="left" w:pos="1560"/>
        </w:tabs>
        <w:ind w:firstLine="567"/>
        <w:jc w:val="both"/>
        <w:rPr>
          <w:szCs w:val="24"/>
        </w:rPr>
      </w:pPr>
      <w:r>
        <w:rPr>
          <w:szCs w:val="24"/>
        </w:rPr>
        <w:tab/>
        <w:t>1.3. telkė Skyriaus specialistų veiklą nustatytų veiklos prioritetų siekiui: gerinti individualią kiekvieno mokinio pažangą, efektyvinant pamokos veiksmingumą; tobulinti neformaliojo švietimo veiklą; vykdė Skyriaus vadovams ir specialistams nustatytus personalinius uždavinius.</w:t>
      </w:r>
    </w:p>
    <w:p w:rsidR="006B373E" w:rsidRDefault="006B373E" w:rsidP="006B373E">
      <w:pPr>
        <w:tabs>
          <w:tab w:val="left" w:pos="5073"/>
        </w:tabs>
        <w:ind w:firstLine="709"/>
        <w:jc w:val="both"/>
        <w:rPr>
          <w:b/>
          <w:szCs w:val="24"/>
        </w:rPr>
      </w:pPr>
      <w:r>
        <w:rPr>
          <w:szCs w:val="24"/>
        </w:rPr>
        <w:t>2. Pasiekti rezultatai:</w:t>
      </w:r>
    </w:p>
    <w:p w:rsidR="006B373E" w:rsidRDefault="006B373E" w:rsidP="006B373E">
      <w:pPr>
        <w:tabs>
          <w:tab w:val="left" w:pos="5070"/>
        </w:tabs>
        <w:ind w:firstLine="709"/>
        <w:jc w:val="both"/>
        <w:rPr>
          <w:szCs w:val="24"/>
        </w:rPr>
      </w:pPr>
      <w:r>
        <w:rPr>
          <w:szCs w:val="24"/>
        </w:rPr>
        <w:t>2.1</w:t>
      </w:r>
      <w:r>
        <w:rPr>
          <w:i/>
          <w:szCs w:val="24"/>
        </w:rPr>
        <w:t>. Bendrojo ugdymo srityje:</w:t>
      </w:r>
    </w:p>
    <w:p w:rsidR="006B373E" w:rsidRDefault="006B373E" w:rsidP="006B373E">
      <w:pPr>
        <w:tabs>
          <w:tab w:val="left" w:pos="5070"/>
        </w:tabs>
        <w:ind w:firstLine="709"/>
        <w:jc w:val="both"/>
        <w:rPr>
          <w:szCs w:val="24"/>
        </w:rPr>
      </w:pPr>
      <w:r>
        <w:rPr>
          <w:szCs w:val="24"/>
        </w:rPr>
        <w:t>2.1.1. įgyvendinant Klaipėdos miesto savivaldybės (toliau – Savivaldybės) tarybos</w:t>
      </w:r>
      <w:r>
        <w:rPr>
          <w:b/>
          <w:szCs w:val="24"/>
        </w:rPr>
        <w:t xml:space="preserve"> </w:t>
      </w:r>
      <w:r>
        <w:rPr>
          <w:szCs w:val="24"/>
        </w:rPr>
        <w:t>(toliau – ST)</w:t>
      </w:r>
      <w:r>
        <w:rPr>
          <w:b/>
          <w:szCs w:val="24"/>
        </w:rPr>
        <w:t xml:space="preserve"> </w:t>
      </w:r>
      <w:r>
        <w:rPr>
          <w:szCs w:val="24"/>
        </w:rPr>
        <w:t>2016 m. balandžio 28 d. sprendimu Nr. T2-119</w:t>
      </w:r>
      <w:r>
        <w:t xml:space="preserve"> </w:t>
      </w:r>
      <w:r>
        <w:rPr>
          <w:szCs w:val="24"/>
        </w:rPr>
        <w:t>patvirtintą S</w:t>
      </w:r>
      <w:r>
        <w:rPr>
          <w:bCs/>
          <w:szCs w:val="24"/>
        </w:rPr>
        <w:t xml:space="preserve">avivaldybės bendrojo ugdymo mokyklų tinklo pertvarkos 2016–2020 metų bendrąjį planą, atlikta </w:t>
      </w:r>
      <w:r>
        <w:rPr>
          <w:szCs w:val="24"/>
        </w:rPr>
        <w:t>Tinklo pertvarkos priemonių įgyvendinimo plano stebėsena:</w:t>
      </w:r>
      <w:r>
        <w:rPr>
          <w:bCs/>
          <w:szCs w:val="24"/>
        </w:rPr>
        <w:t xml:space="preserve"> 2017 m. padidėjo </w:t>
      </w:r>
      <w:r>
        <w:rPr>
          <w:szCs w:val="24"/>
        </w:rPr>
        <w:t>ugdymo programų įvairovė (14 mokyklų įgyvendina netradicinio ugdymo sampratų elementus), 5 pagrindinės mokyklos pertvarkytos į progimnazijas, 2 mokyklos-darželiai – į lopšelius-darželius</w:t>
      </w:r>
      <w:r>
        <w:rPr>
          <w:bCs/>
          <w:szCs w:val="24"/>
        </w:rPr>
        <w:t xml:space="preserve">. Racionaliai ir tikslingai naudojamos patalpos, MK ir SB lėšos (Lietuvos laisvosios rinkos instituto tyrimo duomenimis, </w:t>
      </w:r>
      <w:r>
        <w:rPr>
          <w:szCs w:val="24"/>
        </w:rPr>
        <w:t xml:space="preserve">Klaipėdos miesto mokyklų racionalaus patalpų naudojimo bei vidutiniškai per metus vienam mokiniui tenkančių lėšų rodikliai yra vieni iš geriausių šalyje). Veiksmingam lėšų naudojimui įtakos turi geriausias šalyje Klaipėdos mokyklų klasių </w:t>
      </w:r>
      <w:proofErr w:type="spellStart"/>
      <w:r>
        <w:rPr>
          <w:szCs w:val="24"/>
        </w:rPr>
        <w:t>užpildomumas</w:t>
      </w:r>
      <w:proofErr w:type="spellEnd"/>
      <w:r>
        <w:rPr>
          <w:szCs w:val="24"/>
        </w:rPr>
        <w:t>.</w:t>
      </w:r>
    </w:p>
    <w:p w:rsidR="006B373E" w:rsidRDefault="006B373E" w:rsidP="006B373E">
      <w:pPr>
        <w:ind w:firstLine="709"/>
        <w:jc w:val="both"/>
        <w:rPr>
          <w:szCs w:val="24"/>
        </w:rPr>
      </w:pPr>
      <w:r>
        <w:rPr>
          <w:szCs w:val="24"/>
        </w:rPr>
        <w:t>2.1.2. parengtas naujas Priėmimo į Savivaldybės bendrojo ugdymo mokyklas tvarkos aprašo</w:t>
      </w:r>
      <w:r>
        <w:rPr>
          <w:bCs/>
          <w:szCs w:val="24"/>
        </w:rPr>
        <w:t xml:space="preserve"> projektas, kuris 2017 m. gruodžio 21 d. patvirtintas ST sprendimu Nr. T2-326 bei ST 2017 m. gruodžio 21 d sprendimu Nr. T2-325 </w:t>
      </w:r>
      <w:r>
        <w:rPr>
          <w:szCs w:val="24"/>
        </w:rPr>
        <w:t>patikslintos aptarnavimo teritorijos Savivaldybės bendrojo ugdymo mokykloms;</w:t>
      </w:r>
    </w:p>
    <w:p w:rsidR="006B373E" w:rsidRDefault="006B373E" w:rsidP="006B373E">
      <w:pPr>
        <w:ind w:firstLine="709"/>
        <w:jc w:val="both"/>
        <w:rPr>
          <w:szCs w:val="24"/>
        </w:rPr>
      </w:pPr>
      <w:r>
        <w:rPr>
          <w:szCs w:val="24"/>
        </w:rPr>
        <w:t>2.1.3. vykdant mokinių pasiekimų vertinimą, dalyvauta Nacionalinio egzaminų centro veiksmo tyrime „Diagnostinių ir standartizuotų testų taikymas savivaldybėse / mokyklose 2016–2017 m. m.“ Buvo pasitikrintos 2, 4, 6, 8 klasių 5889 mokinių žinios ir gebėjimai iš 26 bendrojo ugdymo mokyklų. Testų rezultatai buvo aukštesni už respublikos vidurkį, daug dėmesio buvo skirta jų panaudojimo galimybėms, gerinant mokinių bendrąsias kompetencijas. Vykdyta 17 brandos egzaminų, kuriuose dalyvavo 2148 kandidatai;</w:t>
      </w:r>
    </w:p>
    <w:p w:rsidR="006B373E" w:rsidRDefault="006B373E" w:rsidP="00260CCC">
      <w:pPr>
        <w:ind w:firstLine="709"/>
        <w:jc w:val="both"/>
        <w:rPr>
          <w:szCs w:val="24"/>
          <w:lang w:val="en-US"/>
        </w:rPr>
      </w:pPr>
      <w:r>
        <w:rPr>
          <w:szCs w:val="24"/>
          <w:lang w:val="en-US"/>
        </w:rPr>
        <w:t xml:space="preserve">2.1.4. </w:t>
      </w:r>
      <w:r>
        <w:rPr>
          <w:szCs w:val="24"/>
        </w:rPr>
        <w:t>siekiant efektyvinti pagalbą didelių ir labai didelių specialiųjų ugdymosi poreikių turintiems mokiniams, parengtas ir ST patvirtintas Mokytojo padėjėjo etatų įvedimo ir finansavimo švietimo įstaigose tvarkos aprašas (2017 m. liepos 27 d. sprendimu Nr. T2-192), įvesta papildomai 24,5 mokytojo padėjėjo etato 16 bendrojo ugdymo mokyklų;</w:t>
      </w:r>
    </w:p>
    <w:p w:rsidR="006B373E" w:rsidRDefault="006B373E" w:rsidP="006B373E">
      <w:pPr>
        <w:ind w:firstLine="709"/>
        <w:jc w:val="both"/>
        <w:rPr>
          <w:szCs w:val="24"/>
        </w:rPr>
      </w:pPr>
      <w:r>
        <w:rPr>
          <w:szCs w:val="24"/>
        </w:rPr>
        <w:t>2.1.5. Lyderių klubo veiklose dalyvavo 14 miesto mokyklų komandų ir Skyriaus specialistai; tobulintina veikla šiose srityse: „Saugi mokykla – saugus miestas. Pozityvus, patriotiškas, pasitikintis klaipėdietis (PPPK)“, „Edukacinės erdvės – kelias į naują ugdymo(</w:t>
      </w:r>
      <w:proofErr w:type="spellStart"/>
      <w:r>
        <w:rPr>
          <w:szCs w:val="24"/>
        </w:rPr>
        <w:t>si</w:t>
      </w:r>
      <w:proofErr w:type="spellEnd"/>
      <w:r>
        <w:rPr>
          <w:szCs w:val="24"/>
        </w:rPr>
        <w:t>) modelį“ ir „Bendruomeniškumo stiprinimas mokinio sėkmei“; organizuotos gerosios patirties sklaidos veiklos;</w:t>
      </w:r>
    </w:p>
    <w:p w:rsidR="006B373E" w:rsidRDefault="006B373E" w:rsidP="006B373E">
      <w:pPr>
        <w:ind w:firstLine="709"/>
        <w:jc w:val="both"/>
        <w:rPr>
          <w:szCs w:val="24"/>
        </w:rPr>
      </w:pPr>
      <w:r>
        <w:rPr>
          <w:szCs w:val="24"/>
        </w:rPr>
        <w:t>2.1.6. bendradarbiaujant su Sporto ir kūno kultūros skyriumi, įgyvendinta Klaipėdos miesto antrųjų klasių mokinių mokymo plaukti programa</w:t>
      </w:r>
      <w:r>
        <w:t xml:space="preserve">, </w:t>
      </w:r>
      <w:r>
        <w:rPr>
          <w:szCs w:val="24"/>
        </w:rPr>
        <w:t>kurioje dalyvavo 2048 antrųjų klasių mokinių iš 26 mokyklų;</w:t>
      </w:r>
    </w:p>
    <w:p w:rsidR="006B373E" w:rsidRDefault="006B373E" w:rsidP="006B373E">
      <w:pPr>
        <w:ind w:firstLine="709"/>
        <w:jc w:val="both"/>
        <w:rPr>
          <w:szCs w:val="24"/>
        </w:rPr>
      </w:pPr>
      <w:r>
        <w:rPr>
          <w:szCs w:val="24"/>
        </w:rPr>
        <w:t>2.1.7. parengtas Savivaldybės švietimo įstaigų patalpų suteikimo paslaugos ir naudojimosi stadionais (sporto aikštynais) tvarkos aprašas, kuris patvirtintas ST 2017 m. rugsėjo 14 d. sprendimu Nr. T2–219 „Dėl Klaipėdos miesto savivaldybės švietimo įstaigų patalpų suteikimo paslaugos ir naudojimosi stadionais (sporto aikštynais) tvarkos aprašo patvirtinimo“;</w:t>
      </w:r>
    </w:p>
    <w:p w:rsidR="006B373E" w:rsidRDefault="006B373E" w:rsidP="00D05DAD">
      <w:pPr>
        <w:ind w:firstLine="851"/>
        <w:jc w:val="both"/>
        <w:rPr>
          <w:bCs/>
          <w:szCs w:val="24"/>
        </w:rPr>
      </w:pPr>
      <w:r>
        <w:rPr>
          <w:szCs w:val="24"/>
        </w:rPr>
        <w:lastRenderedPageBreak/>
        <w:t xml:space="preserve">2.1.8. </w:t>
      </w:r>
      <w:r>
        <w:rPr>
          <w:bCs/>
          <w:szCs w:val="24"/>
        </w:rPr>
        <w:t>koordinuotas EMP diegimo ir naudojimo projekto vykdymo II ir III etapai;</w:t>
      </w:r>
    </w:p>
    <w:p w:rsidR="006B373E" w:rsidRDefault="006B373E" w:rsidP="0041103A">
      <w:pPr>
        <w:ind w:firstLine="851"/>
        <w:jc w:val="both"/>
        <w:rPr>
          <w:szCs w:val="24"/>
        </w:rPr>
      </w:pPr>
      <w:r>
        <w:rPr>
          <w:szCs w:val="24"/>
        </w:rPr>
        <w:t>2.1.9. vykdant priežiūrą, atlikta 2016–2017 m. m. ugdymo plano valandų, skirtų ugdymosi poreikiams tenkinti, pagalbai teikti, panaudojimo analizė 7 bendrojo ugdymo mokyklose, Tarptautinės mokyklos steigimo poreikio ir galimybių analizė visose savivaldybės bei nevalstybinėse mokyklose; įvertinti mokinių, turinčių akademinių poreikių, ugdymo 2 gimnazijose ypatumai, Katalikiškojo ugdymo sampratos elementų integravimo į ugdymo turinį veiksmingumas ir asmenų priėmimo į tokias klases Prano Mašioto progimnazijoje atitikimas teisės aktams</w:t>
      </w:r>
      <w:r w:rsidR="0041103A">
        <w:rPr>
          <w:szCs w:val="24"/>
        </w:rPr>
        <w:t xml:space="preserve">, taip pat  </w:t>
      </w:r>
      <w:r w:rsidR="0041103A">
        <w:rPr>
          <w:bCs/>
        </w:rPr>
        <w:t xml:space="preserve">atliktas pagrindinio priėmimo į 1, 5, I gimnazijos klases 2017–2018 mokslo metams vykdymo ir atitikimo </w:t>
      </w:r>
      <w:r w:rsidR="0041103A">
        <w:t>ST nustatytiems reikalavimams vertinimas 35 savivaldybės bendrojo ugdymo mokyklų</w:t>
      </w:r>
      <w:r w:rsidR="0024033B">
        <w:t xml:space="preserve"> (</w:t>
      </w:r>
      <w:r w:rsidR="00CB3227">
        <w:t>priėmimo procesas vyko sklandžiai, mokyklos pateikė siūlymus dėl</w:t>
      </w:r>
      <w:r w:rsidR="00A4618C">
        <w:t xml:space="preserve"> ST nustatytos tvarkos tobulinimo</w:t>
      </w:r>
      <w:r w:rsidR="00CB3227">
        <w:t>)</w:t>
      </w:r>
      <w:r w:rsidR="0041103A">
        <w:t>;</w:t>
      </w:r>
      <w:r>
        <w:rPr>
          <w:szCs w:val="24"/>
        </w:rPr>
        <w:t xml:space="preserve"> įvykdyta antikorupcinio ugdymo programų įgyvendinimo analizė 4 mokyklose;</w:t>
      </w:r>
      <w:r>
        <w:t xml:space="preserve"> </w:t>
      </w:r>
      <w:r>
        <w:rPr>
          <w:szCs w:val="24"/>
        </w:rPr>
        <w:t xml:space="preserve">atlikta skirtingo tipo mokyklų tarptautinio matematikos konkurso „Kengūra“ pasiekimų lyginamoji analizė; išanalizuoti 2 progimnazijų 4-ųjų klasių mokinių lietuvių kalbos (skaitymo, rašymo) nacionalinio pasiekimų patikrinimo rezultatai ir jų panaudojimo galimybės, gerinant mokinių skaitymo gebėjimus ir raštingumą; atlikta </w:t>
      </w:r>
      <w:r>
        <w:rPr>
          <w:bCs/>
          <w:iCs/>
          <w:szCs w:val="24"/>
        </w:rPr>
        <w:t xml:space="preserve">3 mokyklų </w:t>
      </w:r>
      <w:r>
        <w:rPr>
          <w:szCs w:val="24"/>
        </w:rPr>
        <w:t xml:space="preserve">išorės vertinimo rekomendacijų įgyvendinimo analizė, konsultuotos 2 mokyklų bendruomenės, ruošiantis veiklos kokybės išoriniam vertinimui ir 1 mokykla po išorės vertinimo Rekomendacijų įgyvendinimo priemonių plano rengimo klausimu; išanalizuoti miesto bendrojo ugdymo mokyklų 2015–2016 m. m. įsivertinimo ir pažangos anketų duomenys; </w:t>
      </w:r>
      <w:r>
        <w:rPr>
          <w:bCs/>
          <w:iCs/>
          <w:szCs w:val="24"/>
        </w:rPr>
        <w:t xml:space="preserve">atlikta </w:t>
      </w:r>
      <w:r>
        <w:rPr>
          <w:szCs w:val="24"/>
        </w:rPr>
        <w:t xml:space="preserve">pasirengimo įgyvendinti atnaujintas lietuvių kalbos programas analizė dėl atnaujinto lietuvių kalbos ugdymo turinio įgyvendinimo pradinio ir pagrindinio ugdymo programas įgyvendinančiose mokyklose; </w:t>
      </w:r>
      <w:r>
        <w:rPr>
          <w:bCs/>
          <w:szCs w:val="24"/>
        </w:rPr>
        <w:t>n</w:t>
      </w:r>
      <w:r>
        <w:rPr>
          <w:szCs w:val="24"/>
        </w:rPr>
        <w:t>ustatytas mokytojo padėjėjo teikiamos pagalbos efektyvumas integruotai besimokantiems mokiniams 3 bendrojo ugdymo mokyklose; atlikta priešmokyklinio ugdymo proceso organizavimo analizė 5 bendrojo ugdymo mokyklose</w:t>
      </w:r>
      <w:r>
        <w:rPr>
          <w:bCs/>
          <w:iCs/>
          <w:szCs w:val="24"/>
        </w:rPr>
        <w:t xml:space="preserve">, parengtos priešmokyklinio amžiaus vaikų ugdymo proceso organizavimo rekomendacijos; </w:t>
      </w:r>
      <w:r>
        <w:rPr>
          <w:szCs w:val="24"/>
        </w:rPr>
        <w:t xml:space="preserve">įvertinta antrųjų klasių mokinių mokymo plaukti programos įgyvendinimo kokybė, nustatyti mokymo plaukti programos įgyvendinimo </w:t>
      </w:r>
      <w:proofErr w:type="spellStart"/>
      <w:r>
        <w:rPr>
          <w:szCs w:val="24"/>
        </w:rPr>
        <w:t>privalumai</w:t>
      </w:r>
      <w:proofErr w:type="spellEnd"/>
      <w:r>
        <w:rPr>
          <w:szCs w:val="24"/>
        </w:rPr>
        <w:t xml:space="preserve"> ir trūkumai; a</w:t>
      </w:r>
      <w:r>
        <w:rPr>
          <w:bCs/>
          <w:szCs w:val="24"/>
        </w:rPr>
        <w:t xml:space="preserve">tlikta patalpų suteikimo paslaugos situacijos analizė 4 švietimo įstaigose bei </w:t>
      </w:r>
      <w:r>
        <w:rPr>
          <w:szCs w:val="24"/>
        </w:rPr>
        <w:t>2 mokyklų bibliotekų ir skaityklų darbo organizavimo analizė, numatytos tobulintinos sritys</w:t>
      </w:r>
      <w:r>
        <w:rPr>
          <w:bCs/>
          <w:szCs w:val="24"/>
        </w:rPr>
        <w:t xml:space="preserve">. </w:t>
      </w:r>
      <w:r>
        <w:rPr>
          <w:szCs w:val="24"/>
        </w:rPr>
        <w:t>Visomis vykdytos priežiūros temomis paruoštos rekomendacijos, su kuriomis supažindinti bendrojo ugdymo mokyklų vadovai.</w:t>
      </w:r>
    </w:p>
    <w:p w:rsidR="006B373E" w:rsidRDefault="006B373E" w:rsidP="006B373E">
      <w:pPr>
        <w:ind w:firstLine="709"/>
        <w:jc w:val="both"/>
        <w:rPr>
          <w:i/>
          <w:szCs w:val="24"/>
        </w:rPr>
      </w:pPr>
      <w:r>
        <w:rPr>
          <w:szCs w:val="24"/>
        </w:rPr>
        <w:t>2.2.</w:t>
      </w:r>
      <w:r>
        <w:rPr>
          <w:b/>
          <w:szCs w:val="24"/>
        </w:rPr>
        <w:t xml:space="preserve"> </w:t>
      </w:r>
      <w:r>
        <w:rPr>
          <w:i/>
          <w:szCs w:val="24"/>
        </w:rPr>
        <w:t xml:space="preserve">Ikimokyklinio ir priešmokyklinio ugdymo srityje: </w:t>
      </w:r>
    </w:p>
    <w:p w:rsidR="006B373E" w:rsidRDefault="006B373E" w:rsidP="006B373E">
      <w:pPr>
        <w:ind w:firstLine="710"/>
        <w:jc w:val="both"/>
        <w:rPr>
          <w:szCs w:val="24"/>
        </w:rPr>
      </w:pPr>
      <w:r>
        <w:rPr>
          <w:szCs w:val="24"/>
        </w:rPr>
        <w:t xml:space="preserve">2.2.1. siekiant geresnio ikimokyklinio ugdymo prieinamumo ir privalomo priešmokyklinio ugdymo užtikrinimo, atlikta ST 2015 m. balandžio 14 d. sprendimu Nr. T2-61 patvirtinto </w:t>
      </w:r>
      <w:r>
        <w:rPr>
          <w:color w:val="000000"/>
          <w:szCs w:val="24"/>
        </w:rPr>
        <w:t xml:space="preserve">Klaipėdos švietimo įstaigų, įgyvendinančių ikimokyklinio ir priešmokyklinio ugdymo programas, 2015–2018 </w:t>
      </w:r>
      <w:r>
        <w:rPr>
          <w:szCs w:val="24"/>
        </w:rPr>
        <w:t>metų</w:t>
      </w:r>
      <w:r>
        <w:rPr>
          <w:color w:val="000000"/>
          <w:szCs w:val="24"/>
        </w:rPr>
        <w:t xml:space="preserve"> tinklo pertvarkos bendrojo plano Priemonių plano </w:t>
      </w:r>
      <w:r>
        <w:rPr>
          <w:szCs w:val="24"/>
        </w:rPr>
        <w:t>įgyvendinimo</w:t>
      </w:r>
      <w:r>
        <w:rPr>
          <w:b/>
          <w:szCs w:val="24"/>
        </w:rPr>
        <w:t xml:space="preserve"> </w:t>
      </w:r>
      <w:r>
        <w:rPr>
          <w:szCs w:val="24"/>
        </w:rPr>
        <w:t xml:space="preserve">stebėsena ir nustatyta, kad visos 2017 m planuotos priemonės įvykdytos: atlikti lopšelio-darželio ,,Puriena" rekonstrukcijos darbai (priestato statyba, kiemo aikštelių, pavėsinių sutvarkymas, tvoros aptvėrimas, papildomas 9 grupių (155 ugdymosi vietos) įrengimas, įstaigos edukacinių erdvių sutvarkymas ir kt.), baigta 2 mokyklų-darželių vidaus struktūros pertvarka į ikimokyklines įstaigas, nuo 2017 m. rugsėjo 1 d. pritaikytos dar 2 grupės (45 ugdymosi vietos) ikimokyklinio amžiaus vaikų ugdymo reikmėms. Buvo įgyvendinta suplanuota tinklo </w:t>
      </w:r>
      <w:r>
        <w:rPr>
          <w:color w:val="000000"/>
          <w:szCs w:val="24"/>
        </w:rPr>
        <w:t>pertvarkos</w:t>
      </w:r>
      <w:r>
        <w:rPr>
          <w:szCs w:val="24"/>
        </w:rPr>
        <w:t xml:space="preserve"> plano priemonė ir vykdomas mokesčio kompensavimas už ugdymą pagal ikimokyklinio ir priešmokyklinio ugdymo programas nevalstybinėse švietimo įstaigose, todėl vaikų skaičius jose kasmet didėja: per trejus mokslo metus šis skaičius padidėjo nuo 418 iki 507. </w:t>
      </w:r>
      <w:r>
        <w:rPr>
          <w:bCs/>
          <w:iCs/>
          <w:szCs w:val="24"/>
        </w:rPr>
        <w:t>Išanalizavus situaciją,</w:t>
      </w:r>
      <w:r>
        <w:rPr>
          <w:bCs/>
          <w:iCs/>
        </w:rPr>
        <w:t xml:space="preserve"> </w:t>
      </w:r>
      <w:r>
        <w:rPr>
          <w:bCs/>
          <w:iCs/>
          <w:szCs w:val="24"/>
        </w:rPr>
        <w:t>pateikti siūlymai dėl ugdymo prieinamumo užtikrinimo nelankantiems švietimo įstaigų priešmokyklinio amžiaus vaikams.</w:t>
      </w:r>
      <w:r>
        <w:rPr>
          <w:szCs w:val="24"/>
        </w:rPr>
        <w:t xml:space="preserve"> Privalomo priešmokyklinio ugdymo poreikis patenkintas 100 proc. </w:t>
      </w:r>
    </w:p>
    <w:p w:rsidR="006B373E" w:rsidRDefault="006B373E" w:rsidP="00C43CE1">
      <w:pPr>
        <w:pStyle w:val="TableText"/>
        <w:ind w:firstLine="709"/>
        <w:jc w:val="both"/>
        <w:rPr>
          <w:bCs/>
          <w:lang w:val="lt-LT"/>
        </w:rPr>
      </w:pPr>
      <w:r>
        <w:t>2.2.2.</w:t>
      </w:r>
      <w:r>
        <w:rPr>
          <w:bCs/>
          <w:lang w:val="lt-LT"/>
        </w:rPr>
        <w:t xml:space="preserve"> įvertinus I</w:t>
      </w:r>
      <w:r>
        <w:rPr>
          <w:lang w:val="lt-LT"/>
        </w:rPr>
        <w:t>kimokyklinio ir priešmokyklinio ugdymo organizavimo modelių Klaipėdos miesto švietimo įstaigose aprašo (patvirtintas ST 2016 m. gruodžio 22 d. sprendimu</w:t>
      </w:r>
      <w:r>
        <w:rPr>
          <w:bCs/>
          <w:lang w:val="lt-LT"/>
        </w:rPr>
        <w:t xml:space="preserve"> Nr. T2-298)</w:t>
      </w:r>
      <w:r>
        <w:rPr>
          <w:lang w:val="lt-LT"/>
        </w:rPr>
        <w:t xml:space="preserve"> praktinį taikymą, šis aprašas patikslintas ST </w:t>
      </w:r>
      <w:r>
        <w:t>2017 m</w:t>
      </w:r>
      <w:r>
        <w:rPr>
          <w:lang w:val="lt-LT"/>
        </w:rPr>
        <w:t>. kovo 30 d. sprendimu Nr. T2-64;</w:t>
      </w:r>
    </w:p>
    <w:p w:rsidR="006B373E" w:rsidRDefault="006B373E" w:rsidP="00C43CE1">
      <w:pPr>
        <w:pStyle w:val="TableText"/>
        <w:ind w:firstLine="709"/>
        <w:jc w:val="both"/>
        <w:rPr>
          <w:lang w:val="lt-LT"/>
        </w:rPr>
      </w:pPr>
      <w:r>
        <w:rPr>
          <w:lang w:val="lt-LT"/>
        </w:rPr>
        <w:t xml:space="preserve">2.2.3. užtikrinant pagalbą didelių ir labai didelių specialiųjų ugdymosi poreikių turintiems vaikams, papildomai įsteigti 4 mokytojo padėjėjo etatai (iš viso </w:t>
      </w:r>
      <w:r w:rsidR="00C43CE1">
        <w:rPr>
          <w:lang w:val="lt-LT"/>
        </w:rPr>
        <w:t xml:space="preserve">6 </w:t>
      </w:r>
      <w:r>
        <w:rPr>
          <w:lang w:val="lt-LT"/>
        </w:rPr>
        <w:t>ikimokyklinėse įstaigose dirba 23 mokytojo padėjėjai);</w:t>
      </w:r>
    </w:p>
    <w:p w:rsidR="006B373E" w:rsidRDefault="006B373E" w:rsidP="00C43CE1">
      <w:pPr>
        <w:pStyle w:val="TableText"/>
        <w:ind w:firstLine="709"/>
        <w:jc w:val="both"/>
        <w:rPr>
          <w:lang w:val="lt-LT"/>
        </w:rPr>
      </w:pPr>
      <w:r>
        <w:rPr>
          <w:lang w:val="lt-LT"/>
        </w:rPr>
        <w:lastRenderedPageBreak/>
        <w:t>2.2.4. siekiant visose įstaigose sudaryti lygias galimybes tėvams, parenkant vaikui tinkamą nemokamą programą (fizinio aktyvumo, sveikos gyvensenos, dailės, teatro</w:t>
      </w:r>
      <w:r w:rsidR="00C43CE1">
        <w:rPr>
          <w:lang w:val="lt-LT"/>
        </w:rPr>
        <w:t>,</w:t>
      </w:r>
      <w:r>
        <w:rPr>
          <w:lang w:val="lt-LT"/>
        </w:rPr>
        <w:t xml:space="preserve"> muzikinio ugdymo ir kt.), įvertintos ir pritarta 26 neformaliojo vaikų švietimo programoms, numatant finansavimą 2018 m. savivaldybės biudžete;</w:t>
      </w:r>
    </w:p>
    <w:p w:rsidR="006B373E" w:rsidRDefault="006B373E" w:rsidP="00C43CE1">
      <w:pPr>
        <w:ind w:firstLine="709"/>
        <w:jc w:val="both"/>
        <w:rPr>
          <w:b/>
          <w:szCs w:val="24"/>
        </w:rPr>
      </w:pPr>
      <w:r>
        <w:rPr>
          <w:szCs w:val="24"/>
        </w:rPr>
        <w:t xml:space="preserve">2.2.5. vykdant priežiūrą, įvertinta </w:t>
      </w:r>
      <w:proofErr w:type="spellStart"/>
      <w:r>
        <w:rPr>
          <w:szCs w:val="24"/>
        </w:rPr>
        <w:t>logopedinės</w:t>
      </w:r>
      <w:proofErr w:type="spellEnd"/>
      <w:r>
        <w:rPr>
          <w:szCs w:val="24"/>
        </w:rPr>
        <w:t xml:space="preserve"> pagalbos teikimo vaikams, turintiems kalbos ir kalbėjimo sutrikimų, kokybė 4 lopšeliuose-darželiuose;</w:t>
      </w:r>
      <w:r>
        <w:rPr>
          <w:bCs/>
        </w:rPr>
        <w:t xml:space="preserve"> </w:t>
      </w:r>
      <w:r>
        <w:rPr>
          <w:bCs/>
          <w:szCs w:val="24"/>
        </w:rPr>
        <w:t>išanalizuota maitinimo organizavimo situacija 3 ikimokyklinio ugdymo įstaigose Visuomenės sveikatos biurui perėmus bendrosios praktikos slaugytojų funkcijas</w:t>
      </w:r>
      <w:r>
        <w:rPr>
          <w:bCs/>
        </w:rPr>
        <w:t xml:space="preserve">; </w:t>
      </w:r>
      <w:r>
        <w:rPr>
          <w:bCs/>
          <w:iCs/>
          <w:szCs w:val="24"/>
        </w:rPr>
        <w:t xml:space="preserve">atlikta priešmokyklinių grupių aprūpinimo ugdymo priemonėmis analizė 4 pasirinktose švietimo įstaigose, </w:t>
      </w:r>
      <w:r>
        <w:rPr>
          <w:szCs w:val="24"/>
        </w:rPr>
        <w:t>ikimokyklinio ir priešmokyklinio ugdymo organizavimo modelių įgyvendinimo situacijos analizė 4 lopšeliuose-darželiuose</w:t>
      </w:r>
      <w:r>
        <w:rPr>
          <w:bCs/>
          <w:iCs/>
          <w:szCs w:val="24"/>
        </w:rPr>
        <w:t xml:space="preserve">; įvertinta </w:t>
      </w:r>
      <w:r>
        <w:rPr>
          <w:szCs w:val="24"/>
        </w:rPr>
        <w:t>neformaliojo vaikų švietimo programų įgyvendinimo kokybė 3 lopšeliuose-darželiuose. Visomis minėtomis priežiūros temomis pateiktos išvados ir rekomendacijos ikimokyklinių įstaigų vadovams ir bendruomenėms.</w:t>
      </w:r>
    </w:p>
    <w:p w:rsidR="006B373E" w:rsidRDefault="006B373E" w:rsidP="009C5419">
      <w:pPr>
        <w:tabs>
          <w:tab w:val="left" w:pos="5070"/>
        </w:tabs>
        <w:ind w:firstLine="709"/>
        <w:jc w:val="both"/>
        <w:rPr>
          <w:szCs w:val="24"/>
        </w:rPr>
      </w:pPr>
      <w:r>
        <w:rPr>
          <w:szCs w:val="24"/>
        </w:rPr>
        <w:t xml:space="preserve">2.3. </w:t>
      </w:r>
      <w:r>
        <w:rPr>
          <w:i/>
          <w:szCs w:val="24"/>
        </w:rPr>
        <w:t>Neformaliojo švietimo srityje:</w:t>
      </w:r>
    </w:p>
    <w:p w:rsidR="006B373E" w:rsidRDefault="006B373E" w:rsidP="009C5419">
      <w:pPr>
        <w:tabs>
          <w:tab w:val="left" w:pos="5070"/>
        </w:tabs>
        <w:ind w:firstLine="709"/>
        <w:jc w:val="both"/>
        <w:rPr>
          <w:noProof/>
          <w:szCs w:val="24"/>
        </w:rPr>
      </w:pPr>
      <w:bookmarkStart w:id="0" w:name="part_9342e7891f134260be037ae216b142c3"/>
      <w:bookmarkEnd w:id="0"/>
      <w:r>
        <w:rPr>
          <w:szCs w:val="24"/>
        </w:rPr>
        <w:t xml:space="preserve">2.3.1. siekiant padidinti vaikų užimtumą ir patikslinti Klaipėdos miesto savivaldybės neformaliojo vaikų švietimo lėšų skyrimo ir naudojimo tvarkos aprašo, patvirtinto ST </w:t>
      </w:r>
      <w:r>
        <w:rPr>
          <w:noProof/>
          <w:szCs w:val="24"/>
        </w:rPr>
        <w:t xml:space="preserve">2016 m. gegužės 26 d. sprendimu </w:t>
      </w:r>
      <w:r>
        <w:rPr>
          <w:szCs w:val="24"/>
        </w:rPr>
        <w:t xml:space="preserve">Nr. T2-142, nuostatas, šis aprašas pakeistas ir patvirtintas ST 2017 m. gruodžio 21 d. sprendimu Nr. T2-328. </w:t>
      </w:r>
      <w:r>
        <w:rPr>
          <w:noProof/>
          <w:szCs w:val="24"/>
        </w:rPr>
        <w:t xml:space="preserve">Mokinių registro duomenimis, tikslinis finansavimas </w:t>
      </w:r>
      <w:r>
        <w:rPr>
          <w:szCs w:val="24"/>
        </w:rPr>
        <w:t xml:space="preserve">buvo skirtas 65 NVŠ teikėjams </w:t>
      </w:r>
      <w:r>
        <w:rPr>
          <w:noProof/>
          <w:szCs w:val="24"/>
        </w:rPr>
        <w:t>107 programų vykdymui (</w:t>
      </w:r>
      <w:r>
        <w:rPr>
          <w:szCs w:val="24"/>
        </w:rPr>
        <w:t xml:space="preserve">I pusmetį buvo užimti 5709 vaikai, II pusmetį programose dalyvavo </w:t>
      </w:r>
      <w:r>
        <w:rPr>
          <w:noProof/>
          <w:szCs w:val="24"/>
        </w:rPr>
        <w:t>6133 vaikai);</w:t>
      </w:r>
    </w:p>
    <w:p w:rsidR="006B373E" w:rsidRDefault="006B373E" w:rsidP="009C5419">
      <w:pPr>
        <w:pStyle w:val="Sraopastraipa"/>
        <w:ind w:left="0" w:firstLine="709"/>
        <w:jc w:val="both"/>
        <w:rPr>
          <w:sz w:val="24"/>
          <w:szCs w:val="24"/>
        </w:rPr>
      </w:pPr>
      <w:r>
        <w:rPr>
          <w:sz w:val="24"/>
          <w:szCs w:val="24"/>
        </w:rPr>
        <w:t>2.3.2. organizuotas vaikų vasaros poilsis, įgyvendintos 27 programos, jose buvo užimta 2850 vaikų;</w:t>
      </w:r>
    </w:p>
    <w:p w:rsidR="006B373E" w:rsidRDefault="006B373E" w:rsidP="009C5419">
      <w:pPr>
        <w:pStyle w:val="Sraopastraipa"/>
        <w:ind w:left="0" w:firstLine="709"/>
        <w:jc w:val="both"/>
        <w:rPr>
          <w:sz w:val="24"/>
          <w:szCs w:val="24"/>
        </w:rPr>
      </w:pPr>
      <w:r>
        <w:rPr>
          <w:sz w:val="24"/>
          <w:szCs w:val="24"/>
        </w:rPr>
        <w:t>2.3.3. įgyvendinta Edukacinių, kultūrinių ir kitų renginių programa, suorganizuota apie 220 renginių mokiniams (olimpiados, konkursai, varžybos, šventės ir kt.) ir mokytojams (konferencijos, seminarai ir kt.), dalyvauta Lietuvos vakarų krašto dainų šventėje, rūpintasi dalyvių apgyvendinimu;</w:t>
      </w:r>
    </w:p>
    <w:p w:rsidR="006B373E" w:rsidRDefault="006B373E" w:rsidP="009C5419">
      <w:pPr>
        <w:pStyle w:val="Sraopastraipa"/>
        <w:ind w:left="0" w:firstLine="709"/>
        <w:jc w:val="both"/>
        <w:rPr>
          <w:sz w:val="24"/>
          <w:szCs w:val="24"/>
        </w:rPr>
      </w:pPr>
      <w:r>
        <w:rPr>
          <w:sz w:val="24"/>
          <w:szCs w:val="24"/>
        </w:rPr>
        <w:t>2.3.4. siekiant vykdyti Lietuvos Respublikos Vyriausybės 2016 m. balandžio 6 d. nutarimu patvirtintos Neformaliojo suaugusiųjų švietimo ir tęstinio mokymosi 2016–2023 metų plėtros programos nuostatas, suorganizuotas Neformaliojo suaugusiųjų švietimo ir tęstinio mokymosi programų konkursas, atrinkta ir savivaldybės biudžeto lėšomis finansuota 20 programų, jose dalyvavo 593 suaugusieji;</w:t>
      </w:r>
    </w:p>
    <w:p w:rsidR="006B373E" w:rsidRDefault="006B373E" w:rsidP="009C5419">
      <w:pPr>
        <w:pStyle w:val="Sraopastraipa"/>
        <w:ind w:left="0" w:firstLine="709"/>
        <w:jc w:val="both"/>
        <w:rPr>
          <w:sz w:val="24"/>
          <w:szCs w:val="24"/>
        </w:rPr>
      </w:pPr>
      <w:r>
        <w:rPr>
          <w:sz w:val="24"/>
          <w:szCs w:val="24"/>
        </w:rPr>
        <w:t>2.3.5. vykdant</w:t>
      </w:r>
      <w:r>
        <w:rPr>
          <w:b/>
          <w:sz w:val="24"/>
          <w:szCs w:val="24"/>
        </w:rPr>
        <w:t xml:space="preserve"> </w:t>
      </w:r>
      <w:r>
        <w:rPr>
          <w:sz w:val="24"/>
          <w:szCs w:val="24"/>
        </w:rPr>
        <w:t>priežiūrą,</w:t>
      </w:r>
      <w:r>
        <w:rPr>
          <w:b/>
          <w:sz w:val="24"/>
          <w:szCs w:val="24"/>
        </w:rPr>
        <w:t xml:space="preserve"> </w:t>
      </w:r>
      <w:r>
        <w:rPr>
          <w:sz w:val="24"/>
          <w:szCs w:val="24"/>
        </w:rPr>
        <w:t>atlikta 26 NVŠ teikėjo programų įgyvendinimo ir mokinių lankomumo patikra, išvados ir rekomendacijos aptartos su programų teikėjais; atliktas neformaliojo vaikų švietimo teikiamų paslaugų kokybės vertinimas, nustatytos stipriosios ir tobulintinos sritys, suorganizavus 1285 gyventojų internetinę apklausą bei bendrojo ugdymo mokyklų apklausą dėl teikiamų neformaliojo vaikų švietimo kokybės įsivertinimo; išnagrinėti neformaliojo vaikų šveitimo įstaigų, formalųjį vaikų švietimą papildančių įstaigų statistiniai duomenys, kitų švietimo teikėjų teikiamų programų ir bendrojo ugdymo mokyklų neformaliojo vaikų švietimo programų vaikų užimtumo ir programų įvairovės pagal kryptis duomenys, įvertintos mokinių, lankančių programas, skaičiaus kaitos tendencijos, parengtos rekomendacijos, kurios pristatytos suinteresuotoms grupėms; įvykdyta 11 Neformaliojo suaugusiųjų švietimo ir tęstinio mokymosi programų priežiūra, pateiktos išvados ir rekomendacijos, kurios aptartos su programų teikėjais.</w:t>
      </w:r>
    </w:p>
    <w:p w:rsidR="006B373E" w:rsidRDefault="006B373E" w:rsidP="009C5419">
      <w:pPr>
        <w:pStyle w:val="Sraopastraipa"/>
        <w:ind w:left="0" w:firstLine="709"/>
        <w:jc w:val="both"/>
        <w:rPr>
          <w:b/>
          <w:sz w:val="24"/>
          <w:szCs w:val="24"/>
        </w:rPr>
      </w:pPr>
      <w:r>
        <w:rPr>
          <w:sz w:val="24"/>
          <w:szCs w:val="24"/>
        </w:rPr>
        <w:t>2.4.</w:t>
      </w:r>
      <w:r>
        <w:rPr>
          <w:b/>
          <w:sz w:val="24"/>
          <w:szCs w:val="24"/>
        </w:rPr>
        <w:t xml:space="preserve"> </w:t>
      </w:r>
      <w:r>
        <w:rPr>
          <w:i/>
          <w:sz w:val="24"/>
          <w:szCs w:val="24"/>
        </w:rPr>
        <w:t>Kiti darbai:</w:t>
      </w:r>
    </w:p>
    <w:p w:rsidR="006B373E" w:rsidRDefault="006B373E" w:rsidP="009C5419">
      <w:pPr>
        <w:pStyle w:val="Sraopastraipa"/>
        <w:ind w:left="0" w:firstLine="709"/>
        <w:jc w:val="both"/>
        <w:rPr>
          <w:sz w:val="24"/>
          <w:szCs w:val="24"/>
        </w:rPr>
      </w:pPr>
      <w:r>
        <w:rPr>
          <w:sz w:val="24"/>
          <w:szCs w:val="24"/>
        </w:rPr>
        <w:t>2.4.1. atestuota 29 švietimo įstaigų vadovų; 19 švietimo įstaigų vadovų buvo nustatyta veiklos ir kompetencijos atitiktis turimai vadybinei kvalifikacinei kategorijai;</w:t>
      </w:r>
    </w:p>
    <w:p w:rsidR="006B373E" w:rsidRDefault="006B373E" w:rsidP="009C5419">
      <w:pPr>
        <w:pStyle w:val="Sraopastraipa"/>
        <w:ind w:left="0" w:firstLine="709"/>
        <w:jc w:val="both"/>
        <w:rPr>
          <w:sz w:val="24"/>
          <w:szCs w:val="24"/>
        </w:rPr>
      </w:pPr>
      <w:r>
        <w:rPr>
          <w:sz w:val="24"/>
          <w:szCs w:val="24"/>
        </w:rPr>
        <w:t>2.4.2. organizuota Savivaldybės administracijos Vaiko gerovės komisijos veikla (įvyko 20 posėdžių, svarstyti 125 klausimai);</w:t>
      </w:r>
    </w:p>
    <w:p w:rsidR="006B373E" w:rsidRDefault="006B373E" w:rsidP="009C5419">
      <w:pPr>
        <w:pStyle w:val="Sraopastraipa"/>
        <w:ind w:left="0" w:firstLine="709"/>
        <w:jc w:val="both"/>
        <w:rPr>
          <w:sz w:val="24"/>
          <w:szCs w:val="24"/>
          <w:highlight w:val="yellow"/>
        </w:rPr>
      </w:pPr>
      <w:r>
        <w:rPr>
          <w:sz w:val="24"/>
          <w:szCs w:val="24"/>
        </w:rPr>
        <w:t xml:space="preserve">2.4.3. organizuota </w:t>
      </w:r>
      <w:r w:rsidR="009C5419">
        <w:rPr>
          <w:sz w:val="24"/>
          <w:szCs w:val="24"/>
        </w:rPr>
        <w:t>Savivaldybės v</w:t>
      </w:r>
      <w:r>
        <w:rPr>
          <w:sz w:val="24"/>
          <w:szCs w:val="24"/>
        </w:rPr>
        <w:t>aikų priėmimo į ikimokyklines ir priešmokyklines grupes komisijos veikla, įvyko 12 posėdžių;</w:t>
      </w:r>
    </w:p>
    <w:p w:rsidR="006B373E" w:rsidRDefault="006B373E" w:rsidP="009C5419">
      <w:pPr>
        <w:pStyle w:val="Sraopastraipa"/>
        <w:ind w:left="0" w:firstLine="709"/>
        <w:jc w:val="both"/>
        <w:rPr>
          <w:sz w:val="24"/>
          <w:szCs w:val="24"/>
        </w:rPr>
      </w:pPr>
      <w:r>
        <w:rPr>
          <w:sz w:val="24"/>
          <w:szCs w:val="24"/>
        </w:rPr>
        <w:t>2.4.4. parengti 34 ST sprendimų projektai;</w:t>
      </w:r>
    </w:p>
    <w:p w:rsidR="006B373E" w:rsidRDefault="006B373E" w:rsidP="009C5419">
      <w:pPr>
        <w:pStyle w:val="Sraopastraipa"/>
        <w:ind w:left="0" w:firstLine="709"/>
        <w:jc w:val="both"/>
        <w:rPr>
          <w:sz w:val="24"/>
          <w:szCs w:val="24"/>
        </w:rPr>
      </w:pPr>
      <w:r>
        <w:rPr>
          <w:sz w:val="24"/>
          <w:szCs w:val="24"/>
        </w:rPr>
        <w:t>3. Artimiausio laikotarpio švietimo prioritetai ir planuojamos veiklos:</w:t>
      </w:r>
    </w:p>
    <w:p w:rsidR="006B373E" w:rsidRDefault="006B373E" w:rsidP="009C5419">
      <w:pPr>
        <w:pStyle w:val="Sraopastraipa"/>
        <w:ind w:left="0" w:firstLine="709"/>
        <w:jc w:val="both"/>
        <w:rPr>
          <w:sz w:val="24"/>
          <w:szCs w:val="24"/>
        </w:rPr>
      </w:pPr>
      <w:r>
        <w:rPr>
          <w:sz w:val="24"/>
          <w:szCs w:val="24"/>
        </w:rPr>
        <w:t>3.1. švietimo prioritetai 2018 metams: 1) individualios vaiko pažangos efektyvinimas; 2) švietimo bendruomenių lyderystės gebėjimų didinimas, įgyvendinant vadybinės veiklos pokyčius;</w:t>
      </w:r>
    </w:p>
    <w:p w:rsidR="006B373E" w:rsidRDefault="006B373E" w:rsidP="009C5419">
      <w:pPr>
        <w:pStyle w:val="Sraopastraipa"/>
        <w:ind w:left="0" w:firstLine="709"/>
        <w:jc w:val="both"/>
        <w:rPr>
          <w:sz w:val="24"/>
          <w:szCs w:val="24"/>
        </w:rPr>
      </w:pPr>
      <w:r>
        <w:rPr>
          <w:sz w:val="24"/>
          <w:szCs w:val="24"/>
        </w:rPr>
        <w:t xml:space="preserve">3.2. planuojamos veiklos: 1) švietimo būklės stebėsenos vykdymas ir kaitos numatymas pagal stebėsenos rezultatus; 2) projekto „Lyderių laikas 3“ įgyvendinimas; 3) Bendrojo ugdymo mokyklų tinklo pertvarkos 2016–2020 m. bendrojo plano numatytų priemonių 2018 m. vykdymas; 4) Ikimokyklinio ugdymo įstaigų tinklo pertvarkos 2015–2018 m. bendrojo plano įgyvendinimo stebėsenos atlikimas; 5) Švietimo įstaigų priežiūros plano parengimas ir įgyvendinimas. </w:t>
      </w:r>
    </w:p>
    <w:p w:rsidR="006B373E" w:rsidRDefault="006B373E" w:rsidP="009C5419">
      <w:pPr>
        <w:jc w:val="both"/>
        <w:rPr>
          <w:szCs w:val="24"/>
        </w:rPr>
      </w:pPr>
    </w:p>
    <w:p w:rsidR="009C5419" w:rsidRDefault="009C5419" w:rsidP="009C5419">
      <w:pPr>
        <w:jc w:val="both"/>
        <w:rPr>
          <w:szCs w:val="24"/>
        </w:rPr>
      </w:pPr>
    </w:p>
    <w:p w:rsidR="009C5419" w:rsidRPr="009C5419" w:rsidRDefault="009C5419" w:rsidP="009C5419">
      <w:pPr>
        <w:jc w:val="center"/>
        <w:rPr>
          <w:szCs w:val="24"/>
        </w:rPr>
      </w:pPr>
      <w:r>
        <w:rPr>
          <w:szCs w:val="24"/>
        </w:rPr>
        <w:t>__________________________________</w:t>
      </w:r>
      <w:bookmarkStart w:id="1" w:name="_GoBack"/>
      <w:bookmarkEnd w:id="1"/>
    </w:p>
    <w:sectPr w:rsidR="009C5419" w:rsidRPr="009C5419" w:rsidSect="00212A54">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0C"/>
    <w:rsid w:val="00212A54"/>
    <w:rsid w:val="0024033B"/>
    <w:rsid w:val="00260CCC"/>
    <w:rsid w:val="0041103A"/>
    <w:rsid w:val="005F471D"/>
    <w:rsid w:val="0061260C"/>
    <w:rsid w:val="006B373E"/>
    <w:rsid w:val="009C5419"/>
    <w:rsid w:val="00A4618C"/>
    <w:rsid w:val="00C43CE1"/>
    <w:rsid w:val="00CB3227"/>
    <w:rsid w:val="00D05DAD"/>
    <w:rsid w:val="00DD2E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1B079"/>
  <w15:chartTrackingRefBased/>
  <w15:docId w15:val="{AFEFDDA8-AB02-4EFF-884C-BD13119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B373E"/>
    <w:pPr>
      <w:spacing w:after="0" w:line="240" w:lineRule="auto"/>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B373E"/>
    <w:pPr>
      <w:ind w:left="720"/>
      <w:contextualSpacing/>
    </w:pPr>
    <w:rPr>
      <w:sz w:val="20"/>
    </w:rPr>
  </w:style>
  <w:style w:type="paragraph" w:customStyle="1" w:styleId="TableText">
    <w:name w:val="Table Text"/>
    <w:basedOn w:val="prastasis"/>
    <w:rsid w:val="006B373E"/>
    <w:pPr>
      <w:autoSpaceDE w:val="0"/>
      <w:autoSpaceDN w:val="0"/>
      <w:adjustRightInd w:val="0"/>
      <w:jc w:val="right"/>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3164">
      <w:bodyDiv w:val="1"/>
      <w:marLeft w:val="0"/>
      <w:marRight w:val="0"/>
      <w:marTop w:val="0"/>
      <w:marBottom w:val="0"/>
      <w:divBdr>
        <w:top w:val="none" w:sz="0" w:space="0" w:color="auto"/>
        <w:left w:val="none" w:sz="0" w:space="0" w:color="auto"/>
        <w:bottom w:val="none" w:sz="0" w:space="0" w:color="auto"/>
        <w:right w:val="none" w:sz="0" w:space="0" w:color="auto"/>
      </w:divBdr>
    </w:div>
    <w:div w:id="198011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8261</Words>
  <Characters>4710</Characters>
  <Application>Microsoft Office Word</Application>
  <DocSecurity>0</DocSecurity>
  <Lines>39</Lines>
  <Paragraphs>25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Kazakauskiene</dc:creator>
  <cp:lastModifiedBy>Audrone Andrasuniene</cp:lastModifiedBy>
  <cp:revision>6</cp:revision>
  <dcterms:created xsi:type="dcterms:W3CDTF">2018-01-24T10:09:00Z</dcterms:created>
  <dcterms:modified xsi:type="dcterms:W3CDTF">2018-01-24T11:45:00Z</dcterms:modified>
</cp:coreProperties>
</file>