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C2" w:rsidRPr="00473CF3" w:rsidRDefault="007846C2" w:rsidP="007846C2">
      <w:pPr>
        <w:jc w:val="center"/>
        <w:rPr>
          <w:b/>
          <w:caps/>
          <w:sz w:val="24"/>
          <w:szCs w:val="24"/>
          <w:lang w:val="lt-LT"/>
        </w:rPr>
      </w:pPr>
      <w:bookmarkStart w:id="0" w:name="_GoBack"/>
      <w:bookmarkEnd w:id="0"/>
      <w:r w:rsidRPr="00473CF3">
        <w:rPr>
          <w:b/>
          <w:caps/>
          <w:sz w:val="24"/>
          <w:szCs w:val="24"/>
          <w:lang w:val="lt-LT"/>
        </w:rPr>
        <w:t>Aiškinamasis raštas</w:t>
      </w:r>
    </w:p>
    <w:p w:rsidR="00396007" w:rsidRPr="00473CF3" w:rsidRDefault="00396007" w:rsidP="00396007">
      <w:pPr>
        <w:pStyle w:val="Antrat3"/>
        <w:ind w:right="-81"/>
        <w:rPr>
          <w:szCs w:val="24"/>
          <w:lang w:val="lt-LT"/>
        </w:rPr>
      </w:pPr>
      <w:r w:rsidRPr="00473CF3">
        <w:rPr>
          <w:szCs w:val="24"/>
          <w:lang w:val="lt-LT"/>
        </w:rPr>
        <w:t xml:space="preserve">PRIE SAVIVALDYBĖS TARYBOS SPRENDIMO </w:t>
      </w:r>
      <w:r w:rsidRPr="00473CF3">
        <w:rPr>
          <w:caps/>
          <w:szCs w:val="24"/>
          <w:lang w:val="lt-LT"/>
        </w:rPr>
        <w:t>projekto „Dėl KLaipėdos miesto savivaldybės turto investavimo IR</w:t>
      </w:r>
      <w:r w:rsidRPr="00473CF3">
        <w:rPr>
          <w:szCs w:val="24"/>
          <w:lang w:val="lt-LT"/>
        </w:rPr>
        <w:t xml:space="preserve"> </w:t>
      </w:r>
      <w:r w:rsidR="00597148" w:rsidRPr="00473CF3">
        <w:rPr>
          <w:szCs w:val="24"/>
          <w:lang w:val="lt-LT"/>
        </w:rPr>
        <w:t>U</w:t>
      </w:r>
      <w:r w:rsidRPr="00473CF3">
        <w:rPr>
          <w:szCs w:val="24"/>
          <w:lang w:val="lt-LT"/>
        </w:rPr>
        <w:t>AB „</w:t>
      </w:r>
      <w:r w:rsidR="00597148" w:rsidRPr="00473CF3">
        <w:rPr>
          <w:szCs w:val="24"/>
          <w:lang w:val="lt-LT"/>
        </w:rPr>
        <w:t>GATVIŲ APŠVIETIMAS</w:t>
      </w:r>
      <w:r w:rsidRPr="00473CF3">
        <w:rPr>
          <w:szCs w:val="24"/>
          <w:lang w:val="lt-LT"/>
        </w:rPr>
        <w:t>“ ĮSTATINIO KAPITALO DIDINIMO</w:t>
      </w:r>
    </w:p>
    <w:p w:rsidR="007846C2" w:rsidRPr="00473CF3" w:rsidRDefault="007846C2" w:rsidP="00396007">
      <w:pPr>
        <w:pStyle w:val="Antrat3"/>
        <w:ind w:right="-81"/>
        <w:rPr>
          <w:b w:val="0"/>
          <w:szCs w:val="24"/>
          <w:lang w:val="lt-LT"/>
        </w:rPr>
      </w:pPr>
    </w:p>
    <w:p w:rsidR="00517E6E" w:rsidRPr="00473CF3" w:rsidRDefault="00AB660C" w:rsidP="00AE4126">
      <w:pPr>
        <w:ind w:firstLine="709"/>
        <w:jc w:val="both"/>
        <w:rPr>
          <w:sz w:val="24"/>
          <w:szCs w:val="24"/>
          <w:lang w:val="lt-LT"/>
        </w:rPr>
      </w:pPr>
      <w:r w:rsidRPr="00473CF3">
        <w:rPr>
          <w:b/>
          <w:sz w:val="24"/>
          <w:szCs w:val="24"/>
          <w:lang w:val="lt-LT"/>
        </w:rPr>
        <w:t>1.</w:t>
      </w:r>
      <w:r w:rsidRPr="00473CF3">
        <w:rPr>
          <w:b/>
          <w:lang w:val="lt-LT"/>
        </w:rPr>
        <w:t xml:space="preserve"> </w:t>
      </w:r>
      <w:r w:rsidR="007846C2" w:rsidRPr="00473CF3">
        <w:rPr>
          <w:b/>
          <w:sz w:val="24"/>
          <w:szCs w:val="24"/>
          <w:lang w:val="lt-LT"/>
        </w:rPr>
        <w:t>Sprendimo projekto esmė, tikslai ir uždaviniai</w:t>
      </w:r>
      <w:r w:rsidR="00592969" w:rsidRPr="00473CF3">
        <w:rPr>
          <w:b/>
          <w:sz w:val="24"/>
          <w:szCs w:val="24"/>
          <w:lang w:val="lt-LT"/>
        </w:rPr>
        <w:t>.</w:t>
      </w:r>
    </w:p>
    <w:p w:rsidR="00D6626A" w:rsidRPr="00473CF3" w:rsidRDefault="00D6626A" w:rsidP="00EB02C6">
      <w:pPr>
        <w:ind w:firstLine="720"/>
        <w:jc w:val="both"/>
        <w:rPr>
          <w:spacing w:val="-3"/>
          <w:sz w:val="24"/>
          <w:szCs w:val="24"/>
          <w:lang w:val="lt-LT"/>
        </w:rPr>
      </w:pPr>
      <w:r w:rsidRPr="00473CF3">
        <w:rPr>
          <w:sz w:val="24"/>
          <w:szCs w:val="24"/>
          <w:lang w:val="lt-LT"/>
        </w:rPr>
        <w:t xml:space="preserve">Perduoti Klaipėdos miesto savivaldybei (toliau – Savivaldybė) nuosavybės teise priklausantį ilgalaikį materialųjį turtą, nurodytą šio sprendimo priede, kurio nepriklausomų turto vertintojų nustatyta rinkos vertė – 5 389 887,27 </w:t>
      </w:r>
      <w:proofErr w:type="spellStart"/>
      <w:r w:rsidRPr="00473CF3">
        <w:rPr>
          <w:sz w:val="24"/>
          <w:szCs w:val="24"/>
          <w:lang w:val="lt-LT"/>
        </w:rPr>
        <w:t>Eur</w:t>
      </w:r>
      <w:proofErr w:type="spellEnd"/>
      <w:r w:rsidRPr="00473CF3">
        <w:rPr>
          <w:sz w:val="24"/>
          <w:szCs w:val="24"/>
          <w:lang w:val="lt-LT"/>
        </w:rPr>
        <w:t xml:space="preserve">, kaip savivaldybės turtinį įnašą uždarajai akcinei bendrovei „Gatvių apšvietimas“ (toliau – Bendrovė), didinant šios Bendrovės įstatinį kapitalą. </w:t>
      </w:r>
      <w:r w:rsidR="00EB02C6" w:rsidRPr="00473CF3">
        <w:rPr>
          <w:sz w:val="24"/>
          <w:szCs w:val="24"/>
          <w:lang w:val="lt-LT"/>
        </w:rPr>
        <w:t xml:space="preserve">Šiuo nepiniginiu įnašu numatoma įsigyti ir apmokėti Bendrovės išleidžiamų 0,29 </w:t>
      </w:r>
      <w:proofErr w:type="spellStart"/>
      <w:r w:rsidR="00EB02C6" w:rsidRPr="00473CF3">
        <w:rPr>
          <w:sz w:val="24"/>
          <w:szCs w:val="24"/>
          <w:lang w:val="lt-LT"/>
        </w:rPr>
        <w:t>Eur</w:t>
      </w:r>
      <w:proofErr w:type="spellEnd"/>
      <w:r w:rsidR="00EB02C6" w:rsidRPr="00473CF3">
        <w:rPr>
          <w:sz w:val="24"/>
          <w:szCs w:val="24"/>
          <w:lang w:val="lt-LT"/>
        </w:rPr>
        <w:t xml:space="preserve"> nominalios vertės 18 585 818 vienetų</w:t>
      </w:r>
      <w:r w:rsidR="00EB02C6" w:rsidRPr="00473CF3">
        <w:rPr>
          <w:spacing w:val="-3"/>
          <w:sz w:val="24"/>
          <w:szCs w:val="24"/>
          <w:lang w:val="lt-LT"/>
        </w:rPr>
        <w:t xml:space="preserve"> paprastųjų vardinių akcijų, </w:t>
      </w:r>
      <w:r w:rsidR="00EB02C6" w:rsidRPr="00473CF3">
        <w:rPr>
          <w:sz w:val="24"/>
          <w:szCs w:val="24"/>
          <w:lang w:val="lt-LT"/>
        </w:rPr>
        <w:t>nustatant, kad akcijų emisijos kaina lygi jų nominaliai vertei</w:t>
      </w:r>
      <w:r w:rsidR="00EB02C6" w:rsidRPr="00473CF3">
        <w:rPr>
          <w:spacing w:val="-3"/>
          <w:sz w:val="24"/>
          <w:szCs w:val="24"/>
          <w:lang w:val="lt-LT"/>
        </w:rPr>
        <w:t xml:space="preserve">. </w:t>
      </w:r>
    </w:p>
    <w:p w:rsidR="0087321D" w:rsidRPr="00473CF3" w:rsidRDefault="008A7582" w:rsidP="005910C2">
      <w:pPr>
        <w:pStyle w:val="Pagrindinistekstas"/>
        <w:tabs>
          <w:tab w:val="left" w:pos="9639"/>
        </w:tabs>
        <w:spacing w:line="240" w:lineRule="auto"/>
        <w:ind w:firstLine="720"/>
        <w:jc w:val="both"/>
        <w:rPr>
          <w:szCs w:val="24"/>
        </w:rPr>
      </w:pPr>
      <w:r w:rsidRPr="00473CF3">
        <w:rPr>
          <w:b/>
          <w:szCs w:val="24"/>
        </w:rPr>
        <w:t xml:space="preserve">2. </w:t>
      </w:r>
      <w:r w:rsidR="007846C2" w:rsidRPr="00473CF3">
        <w:rPr>
          <w:b/>
          <w:szCs w:val="24"/>
        </w:rPr>
        <w:t>Projekto rengimo priežastys ir kuo remiantis parengtas sprendimo projektas.</w:t>
      </w:r>
      <w:r w:rsidR="007846C2" w:rsidRPr="00473CF3">
        <w:rPr>
          <w:szCs w:val="24"/>
        </w:rPr>
        <w:t xml:space="preserve"> </w:t>
      </w:r>
    </w:p>
    <w:p w:rsidR="006D72AB" w:rsidRPr="00473CF3" w:rsidRDefault="006D72AB" w:rsidP="006D72AB">
      <w:pPr>
        <w:pStyle w:val="Pagrindinistekstas"/>
        <w:tabs>
          <w:tab w:val="left" w:pos="9639"/>
        </w:tabs>
        <w:spacing w:line="240" w:lineRule="auto"/>
        <w:ind w:firstLine="720"/>
        <w:jc w:val="both"/>
        <w:rPr>
          <w:szCs w:val="24"/>
        </w:rPr>
      </w:pPr>
      <w:r w:rsidRPr="00473CF3">
        <w:rPr>
          <w:szCs w:val="24"/>
        </w:rPr>
        <w:t xml:space="preserve">Lietuvos Respublikos valstybės ir savivaldybių turto valdymo, naudojimo ir disponavimo juo įstatymo 22 straipsnio 1 dalies 2 punktas numato, kad savivaldybės turto investavimas – tai savivaldybei nuosavybės teise priklausančio turto, kaip įnašo perdavimas didinant uždarosios akcinės bendrovės kapitalą, jei savivaldybė yra jos dalyvė. Savivaldybė yra </w:t>
      </w:r>
      <w:r w:rsidR="00F371BB" w:rsidRPr="00473CF3">
        <w:rPr>
          <w:szCs w:val="24"/>
        </w:rPr>
        <w:t>Bendrovės</w:t>
      </w:r>
      <w:r w:rsidRPr="00473CF3">
        <w:rPr>
          <w:szCs w:val="24"/>
        </w:rPr>
        <w:t xml:space="preserve"> vienintelis akcininkas, todėl Savivaldybė gali investuoti turtą, didindama bendrovės įstatinį kapitalą. </w:t>
      </w:r>
    </w:p>
    <w:p w:rsidR="00DB0E0F" w:rsidRPr="00473CF3" w:rsidRDefault="009539FA" w:rsidP="00F74EA1">
      <w:pPr>
        <w:ind w:firstLine="720"/>
        <w:jc w:val="both"/>
        <w:rPr>
          <w:sz w:val="24"/>
          <w:szCs w:val="24"/>
          <w:lang w:val="lt-LT"/>
        </w:rPr>
      </w:pPr>
      <w:r w:rsidRPr="00473CF3">
        <w:rPr>
          <w:sz w:val="24"/>
          <w:szCs w:val="24"/>
          <w:lang w:val="lt-LT"/>
        </w:rPr>
        <w:t xml:space="preserve">Lietuvos Respublikos vietos savivaldos įstatymo 6 straipsnio </w:t>
      </w:r>
      <w:r w:rsidR="000416CC" w:rsidRPr="00473CF3">
        <w:rPr>
          <w:sz w:val="24"/>
          <w:szCs w:val="24"/>
          <w:lang w:val="lt-LT"/>
        </w:rPr>
        <w:t xml:space="preserve">32 punktas nustato, kad  savivaldybių vietinės reikšmės kelių ir gatvių priežiūra, taisymas, tiesimas ir saugaus eismo organizavimas </w:t>
      </w:r>
      <w:r w:rsidRPr="00473CF3">
        <w:rPr>
          <w:sz w:val="24"/>
          <w:szCs w:val="24"/>
          <w:lang w:val="lt-LT"/>
        </w:rPr>
        <w:t xml:space="preserve">yra savivaldybės savarankiškoji funkcija. </w:t>
      </w:r>
      <w:r w:rsidR="0021093C" w:rsidRPr="00473CF3">
        <w:rPr>
          <w:sz w:val="24"/>
          <w:szCs w:val="24"/>
          <w:lang w:val="lt-LT"/>
        </w:rPr>
        <w:t xml:space="preserve">Bendrovė įgyvendindama Savivaldybės funkcijas eksploatuoja, prižiūri ir remontuoja </w:t>
      </w:r>
      <w:r w:rsidR="007C4A49" w:rsidRPr="00473CF3">
        <w:rPr>
          <w:sz w:val="24"/>
          <w:szCs w:val="24"/>
          <w:lang w:val="lt-LT"/>
        </w:rPr>
        <w:t xml:space="preserve">Savivaldybei nuosavybės teise priklausantį, </w:t>
      </w:r>
      <w:r w:rsidR="00231710" w:rsidRPr="00473CF3">
        <w:rPr>
          <w:sz w:val="24"/>
          <w:szCs w:val="24"/>
          <w:lang w:val="lt-LT"/>
        </w:rPr>
        <w:t xml:space="preserve">o </w:t>
      </w:r>
      <w:r w:rsidR="007C4A49" w:rsidRPr="00473CF3">
        <w:rPr>
          <w:sz w:val="24"/>
          <w:szCs w:val="24"/>
          <w:lang w:val="lt-LT"/>
        </w:rPr>
        <w:t>pagal Klaipėdos miesto savivaldybės tarybos 2015 m. liepos 10 d. sprendimą Nr. T2-152 „Dėl turto perdavimo pagal patikėjimo teisės sutartį UAB „Gatvių apšvietimas“</w:t>
      </w:r>
      <w:r w:rsidR="00C45D12" w:rsidRPr="00473CF3">
        <w:rPr>
          <w:sz w:val="24"/>
          <w:szCs w:val="24"/>
          <w:lang w:val="lt-LT"/>
        </w:rPr>
        <w:t xml:space="preserve">, </w:t>
      </w:r>
      <w:r w:rsidR="009007DB" w:rsidRPr="00473CF3">
        <w:rPr>
          <w:sz w:val="24"/>
          <w:szCs w:val="24"/>
          <w:lang w:val="lt-LT"/>
        </w:rPr>
        <w:t xml:space="preserve">Bendrovei patikėjimo teise </w:t>
      </w:r>
      <w:r w:rsidR="007C4A49" w:rsidRPr="00473CF3">
        <w:rPr>
          <w:sz w:val="24"/>
          <w:szCs w:val="24"/>
          <w:lang w:val="lt-LT"/>
        </w:rPr>
        <w:t xml:space="preserve">perduotą šio sprendimo priede nurodytą turtą - </w:t>
      </w:r>
      <w:r w:rsidR="0021093C" w:rsidRPr="00473CF3">
        <w:rPr>
          <w:sz w:val="24"/>
          <w:szCs w:val="24"/>
          <w:lang w:val="lt-LT"/>
        </w:rPr>
        <w:t>miesto šviestuvus</w:t>
      </w:r>
      <w:r w:rsidR="00231710" w:rsidRPr="00473CF3">
        <w:rPr>
          <w:sz w:val="24"/>
          <w:szCs w:val="24"/>
          <w:lang w:val="lt-LT"/>
        </w:rPr>
        <w:t xml:space="preserve"> (~16000 vnt.)</w:t>
      </w:r>
      <w:r w:rsidR="0021093C" w:rsidRPr="00473CF3">
        <w:rPr>
          <w:sz w:val="24"/>
          <w:szCs w:val="24"/>
          <w:lang w:val="lt-LT"/>
        </w:rPr>
        <w:t>, apšvietimo valdymo spintas</w:t>
      </w:r>
      <w:r w:rsidR="00231710" w:rsidRPr="00473CF3">
        <w:rPr>
          <w:sz w:val="24"/>
          <w:szCs w:val="24"/>
          <w:lang w:val="lt-LT"/>
        </w:rPr>
        <w:t xml:space="preserve"> (159 vnt.)</w:t>
      </w:r>
      <w:r w:rsidR="0021093C" w:rsidRPr="00473CF3">
        <w:rPr>
          <w:sz w:val="24"/>
          <w:szCs w:val="24"/>
          <w:lang w:val="lt-LT"/>
        </w:rPr>
        <w:t>, galios reguliatorius</w:t>
      </w:r>
      <w:r w:rsidR="00231710" w:rsidRPr="00473CF3">
        <w:rPr>
          <w:sz w:val="24"/>
          <w:szCs w:val="24"/>
          <w:lang w:val="lt-LT"/>
        </w:rPr>
        <w:t xml:space="preserve"> (48 vnt.)</w:t>
      </w:r>
      <w:r w:rsidR="0021093C" w:rsidRPr="00473CF3">
        <w:rPr>
          <w:sz w:val="24"/>
          <w:szCs w:val="24"/>
          <w:lang w:val="lt-LT"/>
        </w:rPr>
        <w:t>, kabelin</w:t>
      </w:r>
      <w:r w:rsidR="007C4A49" w:rsidRPr="00473CF3">
        <w:rPr>
          <w:sz w:val="24"/>
          <w:szCs w:val="24"/>
          <w:lang w:val="lt-LT"/>
        </w:rPr>
        <w:t>es</w:t>
      </w:r>
      <w:r w:rsidR="00231710" w:rsidRPr="00473CF3">
        <w:rPr>
          <w:sz w:val="24"/>
          <w:szCs w:val="24"/>
          <w:lang w:val="lt-LT"/>
        </w:rPr>
        <w:t xml:space="preserve"> (~544,98 km.)</w:t>
      </w:r>
      <w:r w:rsidR="0021093C" w:rsidRPr="00473CF3">
        <w:rPr>
          <w:sz w:val="24"/>
          <w:szCs w:val="24"/>
          <w:lang w:val="lt-LT"/>
        </w:rPr>
        <w:t xml:space="preserve"> </w:t>
      </w:r>
      <w:r w:rsidR="007C4A49" w:rsidRPr="00473CF3">
        <w:rPr>
          <w:sz w:val="24"/>
          <w:szCs w:val="24"/>
          <w:lang w:val="lt-LT"/>
        </w:rPr>
        <w:t xml:space="preserve">ir orines </w:t>
      </w:r>
      <w:r w:rsidR="00231710" w:rsidRPr="00473CF3">
        <w:rPr>
          <w:sz w:val="24"/>
          <w:szCs w:val="24"/>
          <w:lang w:val="lt-LT"/>
        </w:rPr>
        <w:t xml:space="preserve">(~50,56 km.) </w:t>
      </w:r>
      <w:r w:rsidR="007C4A49" w:rsidRPr="00473CF3">
        <w:rPr>
          <w:sz w:val="24"/>
          <w:szCs w:val="24"/>
          <w:lang w:val="lt-LT"/>
        </w:rPr>
        <w:t>linijas. Šio t</w:t>
      </w:r>
      <w:r w:rsidR="002D3637" w:rsidRPr="00473CF3">
        <w:rPr>
          <w:sz w:val="24"/>
          <w:szCs w:val="24"/>
          <w:lang w:val="lt-LT"/>
        </w:rPr>
        <w:t xml:space="preserve">urto perdavimas Bendrovei, didinant pastarosios įstatinį kapitalą, sudarytų sąlygas Bendrovei investuoti savo lėšas į šio turto atnaujinimą, sistemingai, koordinuotai ir planuotai gerinti bei atnaujinti miesto infrastruktūrą.  </w:t>
      </w:r>
    </w:p>
    <w:p w:rsidR="00E244EB" w:rsidRPr="00473CF3" w:rsidRDefault="00E244EB" w:rsidP="00E244EB">
      <w:pPr>
        <w:pStyle w:val="Pagrindinistekstas"/>
        <w:spacing w:line="240" w:lineRule="auto"/>
        <w:ind w:firstLine="720"/>
        <w:jc w:val="both"/>
        <w:rPr>
          <w:color w:val="000000" w:themeColor="text1"/>
          <w:szCs w:val="24"/>
        </w:rPr>
      </w:pPr>
      <w:r w:rsidRPr="00473CF3">
        <w:rPr>
          <w:color w:val="000000" w:themeColor="text1"/>
          <w:szCs w:val="24"/>
        </w:rPr>
        <w:t>Investicijos sąnaudų bei naudos analizė:</w:t>
      </w:r>
    </w:p>
    <w:p w:rsidR="00E244EB" w:rsidRPr="00473CF3" w:rsidRDefault="00E244EB" w:rsidP="00E244EB">
      <w:pPr>
        <w:pStyle w:val="Pagrindinistekstas"/>
        <w:spacing w:line="240" w:lineRule="auto"/>
        <w:ind w:firstLine="720"/>
        <w:jc w:val="both"/>
        <w:rPr>
          <w:color w:val="000000" w:themeColor="text1"/>
          <w:szCs w:val="24"/>
        </w:rPr>
      </w:pPr>
      <w:r w:rsidRPr="00473CF3">
        <w:rPr>
          <w:color w:val="000000" w:themeColor="text1"/>
          <w:szCs w:val="24"/>
        </w:rPr>
        <w:t>1. Savivaldybė sąnaudų perduodant turtą nepatirtų (atitinkamai už tą pačią sumą įgytų Bendrovės akcijų);</w:t>
      </w:r>
    </w:p>
    <w:p w:rsidR="00E244EB" w:rsidRPr="00473CF3" w:rsidRDefault="00E244EB" w:rsidP="00473CF3">
      <w:pPr>
        <w:pStyle w:val="Pagrindinistekstas"/>
        <w:spacing w:line="240" w:lineRule="auto"/>
        <w:ind w:firstLine="720"/>
        <w:jc w:val="both"/>
        <w:rPr>
          <w:color w:val="000000" w:themeColor="text1"/>
          <w:szCs w:val="24"/>
        </w:rPr>
      </w:pPr>
      <w:r w:rsidRPr="00473CF3">
        <w:rPr>
          <w:color w:val="000000" w:themeColor="text1"/>
          <w:szCs w:val="24"/>
        </w:rPr>
        <w:t xml:space="preserve">2. Bendrovė savo gautiną pelną galėtų investuoti į turto atnaujinimą (savivaldybė galėtų mažiau skirti lėšų apšvietimo atnaujinimui, investavus bus sistemingai kuriama ir plėtojama infrastruktūra, naudinga visuomenei). </w:t>
      </w:r>
      <w:bookmarkStart w:id="1" w:name="_Hlk484439273"/>
    </w:p>
    <w:p w:rsidR="00E244EB" w:rsidRPr="00473CF3" w:rsidRDefault="00E244EB" w:rsidP="00E244EB">
      <w:pPr>
        <w:pStyle w:val="Pagrindinistekstas"/>
        <w:spacing w:line="240" w:lineRule="auto"/>
        <w:ind w:firstLine="720"/>
        <w:jc w:val="both"/>
        <w:rPr>
          <w:color w:val="000000" w:themeColor="text1"/>
          <w:szCs w:val="24"/>
        </w:rPr>
      </w:pPr>
      <w:r w:rsidRPr="00473CF3">
        <w:rPr>
          <w:color w:val="000000" w:themeColor="text1"/>
          <w:szCs w:val="24"/>
        </w:rPr>
        <w:t xml:space="preserve">Bendrovės 3 metų finansiniai rezultatai pateikiami 1 lentelėje. </w:t>
      </w:r>
    </w:p>
    <w:tbl>
      <w:tblPr>
        <w:tblW w:w="9639" w:type="dxa"/>
        <w:tblLook w:val="04A0" w:firstRow="1" w:lastRow="0" w:firstColumn="1" w:lastColumn="0" w:noHBand="0" w:noVBand="1"/>
      </w:tblPr>
      <w:tblGrid>
        <w:gridCol w:w="4678"/>
        <w:gridCol w:w="1134"/>
        <w:gridCol w:w="1276"/>
        <w:gridCol w:w="1134"/>
        <w:gridCol w:w="1417"/>
      </w:tblGrid>
      <w:tr w:rsidR="00E244EB" w:rsidRPr="00473CF3" w:rsidTr="00473CF3">
        <w:trPr>
          <w:trHeight w:val="570"/>
        </w:trPr>
        <w:tc>
          <w:tcPr>
            <w:tcW w:w="8222" w:type="dxa"/>
            <w:gridSpan w:val="4"/>
            <w:tcBorders>
              <w:top w:val="nil"/>
              <w:left w:val="nil"/>
              <w:bottom w:val="single" w:sz="8" w:space="0" w:color="0060B0"/>
              <w:right w:val="nil"/>
            </w:tcBorders>
            <w:shd w:val="clear" w:color="auto" w:fill="auto"/>
            <w:vAlign w:val="center"/>
            <w:hideMark/>
          </w:tcPr>
          <w:p w:rsidR="00E244EB" w:rsidRPr="00473CF3" w:rsidRDefault="00E244EB" w:rsidP="00E244EB">
            <w:pPr>
              <w:rPr>
                <w:b/>
                <w:bCs/>
                <w:color w:val="0060B0"/>
                <w:lang w:val="lt-LT"/>
              </w:rPr>
            </w:pPr>
            <w:r w:rsidRPr="00473CF3">
              <w:rPr>
                <w:b/>
                <w:bCs/>
                <w:color w:val="0060B0"/>
                <w:lang w:val="lt-LT"/>
              </w:rPr>
              <w:t>1 Lentelė. Istoriniai Bendrovės finansiniai rezultatai</w:t>
            </w:r>
          </w:p>
        </w:tc>
        <w:tc>
          <w:tcPr>
            <w:tcW w:w="1417" w:type="dxa"/>
            <w:tcBorders>
              <w:top w:val="nil"/>
              <w:left w:val="nil"/>
              <w:bottom w:val="single" w:sz="8" w:space="0" w:color="0060B0"/>
              <w:right w:val="nil"/>
            </w:tcBorders>
            <w:shd w:val="clear" w:color="auto" w:fill="auto"/>
            <w:vAlign w:val="center"/>
            <w:hideMark/>
          </w:tcPr>
          <w:p w:rsidR="00E244EB" w:rsidRPr="00473CF3" w:rsidRDefault="00E244EB" w:rsidP="00473CF3">
            <w:pPr>
              <w:jc w:val="center"/>
              <w:rPr>
                <w:b/>
                <w:bCs/>
                <w:color w:val="0060B0"/>
                <w:lang w:val="lt-LT"/>
              </w:rPr>
            </w:pPr>
            <w:r w:rsidRPr="00473CF3">
              <w:rPr>
                <w:b/>
                <w:bCs/>
                <w:color w:val="0060B0"/>
                <w:lang w:val="lt-LT"/>
              </w:rPr>
              <w:t xml:space="preserve">tūkst. </w:t>
            </w:r>
            <w:proofErr w:type="spellStart"/>
            <w:r w:rsidRPr="00473CF3">
              <w:rPr>
                <w:b/>
                <w:bCs/>
                <w:color w:val="0060B0"/>
                <w:lang w:val="lt-LT"/>
              </w:rPr>
              <w:t>Eur</w:t>
            </w:r>
            <w:proofErr w:type="spellEnd"/>
          </w:p>
        </w:tc>
      </w:tr>
      <w:tr w:rsidR="00E244EB" w:rsidRPr="00473CF3" w:rsidTr="00473CF3">
        <w:trPr>
          <w:trHeight w:val="750"/>
        </w:trPr>
        <w:tc>
          <w:tcPr>
            <w:tcW w:w="4678" w:type="dxa"/>
            <w:tcBorders>
              <w:top w:val="nil"/>
              <w:left w:val="single" w:sz="8" w:space="0" w:color="0060B0"/>
              <w:bottom w:val="single" w:sz="8" w:space="0" w:color="0060B0"/>
              <w:right w:val="nil"/>
            </w:tcBorders>
            <w:shd w:val="clear" w:color="auto" w:fill="auto"/>
            <w:vAlign w:val="center"/>
            <w:hideMark/>
          </w:tcPr>
          <w:p w:rsidR="00E244EB" w:rsidRPr="00473CF3" w:rsidRDefault="00E244EB" w:rsidP="00E244EB">
            <w:pPr>
              <w:jc w:val="center"/>
              <w:rPr>
                <w:b/>
                <w:bCs/>
                <w:color w:val="000000"/>
                <w:lang w:val="lt-LT"/>
              </w:rPr>
            </w:pPr>
            <w:r w:rsidRPr="00473CF3">
              <w:rPr>
                <w:b/>
                <w:bCs/>
                <w:color w:val="000000"/>
                <w:lang w:val="lt-LT"/>
              </w:rPr>
              <w:t>Pelno (nuostolių) ataskaitos straipsniai</w:t>
            </w:r>
          </w:p>
        </w:tc>
        <w:tc>
          <w:tcPr>
            <w:tcW w:w="1134" w:type="dxa"/>
            <w:tcBorders>
              <w:top w:val="nil"/>
              <w:left w:val="single" w:sz="4" w:space="0" w:color="0060B0"/>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lang w:val="lt-LT"/>
              </w:rPr>
            </w:pPr>
            <w:r w:rsidRPr="00473CF3">
              <w:rPr>
                <w:b/>
                <w:bCs/>
                <w:color w:val="000000"/>
                <w:lang w:val="lt-LT"/>
              </w:rPr>
              <w:t>2015</w:t>
            </w:r>
          </w:p>
        </w:tc>
        <w:tc>
          <w:tcPr>
            <w:tcW w:w="1276" w:type="dxa"/>
            <w:tcBorders>
              <w:top w:val="nil"/>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lang w:val="lt-LT"/>
              </w:rPr>
            </w:pPr>
            <w:r w:rsidRPr="00473CF3">
              <w:rPr>
                <w:b/>
                <w:bCs/>
                <w:color w:val="000000"/>
                <w:lang w:val="lt-LT"/>
              </w:rPr>
              <w:t>2016</w:t>
            </w:r>
          </w:p>
        </w:tc>
        <w:tc>
          <w:tcPr>
            <w:tcW w:w="1134" w:type="dxa"/>
            <w:tcBorders>
              <w:top w:val="nil"/>
              <w:left w:val="nil"/>
              <w:bottom w:val="single" w:sz="8" w:space="0" w:color="0060B0"/>
              <w:right w:val="single" w:sz="8" w:space="0" w:color="0060B0"/>
            </w:tcBorders>
            <w:shd w:val="clear" w:color="auto" w:fill="auto"/>
            <w:noWrap/>
            <w:vAlign w:val="center"/>
            <w:hideMark/>
          </w:tcPr>
          <w:p w:rsidR="00E244EB" w:rsidRPr="00473CF3" w:rsidRDefault="00E244EB" w:rsidP="00E244EB">
            <w:pPr>
              <w:jc w:val="center"/>
              <w:rPr>
                <w:b/>
                <w:bCs/>
                <w:color w:val="000000"/>
                <w:lang w:val="lt-LT"/>
              </w:rPr>
            </w:pPr>
            <w:r w:rsidRPr="00473CF3">
              <w:rPr>
                <w:b/>
                <w:bCs/>
                <w:color w:val="000000"/>
                <w:lang w:val="lt-LT"/>
              </w:rPr>
              <w:t>2017</w:t>
            </w:r>
          </w:p>
        </w:tc>
        <w:tc>
          <w:tcPr>
            <w:tcW w:w="1417" w:type="dxa"/>
            <w:tcBorders>
              <w:top w:val="nil"/>
              <w:left w:val="nil"/>
              <w:bottom w:val="single" w:sz="8" w:space="0" w:color="0060B0"/>
              <w:right w:val="single" w:sz="8" w:space="0" w:color="0060B0"/>
            </w:tcBorders>
            <w:shd w:val="clear" w:color="auto" w:fill="auto"/>
            <w:vAlign w:val="center"/>
            <w:hideMark/>
          </w:tcPr>
          <w:p w:rsidR="00E244EB" w:rsidRPr="00473CF3" w:rsidRDefault="00E244EB" w:rsidP="00E244EB">
            <w:pPr>
              <w:jc w:val="center"/>
              <w:rPr>
                <w:b/>
                <w:bCs/>
                <w:color w:val="000000"/>
                <w:lang w:val="lt-LT"/>
              </w:rPr>
            </w:pPr>
            <w:r w:rsidRPr="00473CF3">
              <w:rPr>
                <w:b/>
                <w:bCs/>
                <w:color w:val="000000"/>
                <w:lang w:val="lt-LT"/>
              </w:rPr>
              <w:t>2015-2017 metų pokytis</w:t>
            </w:r>
          </w:p>
        </w:tc>
      </w:tr>
      <w:tr w:rsidR="00E244EB" w:rsidRPr="00473CF3" w:rsidTr="00473CF3">
        <w:trPr>
          <w:trHeight w:val="255"/>
        </w:trPr>
        <w:tc>
          <w:tcPr>
            <w:tcW w:w="4678" w:type="dxa"/>
            <w:tcBorders>
              <w:top w:val="nil"/>
              <w:left w:val="single" w:sz="8" w:space="0" w:color="0060B0"/>
              <w:bottom w:val="single" w:sz="4" w:space="0" w:color="0060B0"/>
              <w:right w:val="single" w:sz="4" w:space="0" w:color="0060B0"/>
            </w:tcBorders>
            <w:shd w:val="clear" w:color="auto" w:fill="auto"/>
            <w:vAlign w:val="center"/>
            <w:hideMark/>
          </w:tcPr>
          <w:p w:rsidR="00E244EB" w:rsidRPr="00473CF3" w:rsidRDefault="00E244EB" w:rsidP="00E244EB">
            <w:pPr>
              <w:rPr>
                <w:color w:val="000000"/>
                <w:lang w:val="lt-LT"/>
              </w:rPr>
            </w:pPr>
            <w:r w:rsidRPr="00473CF3">
              <w:rPr>
                <w:color w:val="000000"/>
                <w:lang w:val="lt-LT"/>
              </w:rPr>
              <w:t>Pardavimo pajamos</w:t>
            </w:r>
          </w:p>
        </w:tc>
        <w:tc>
          <w:tcPr>
            <w:tcW w:w="1134"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1 247</w:t>
            </w:r>
          </w:p>
        </w:tc>
        <w:tc>
          <w:tcPr>
            <w:tcW w:w="1276"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2 123</w:t>
            </w:r>
          </w:p>
        </w:tc>
        <w:tc>
          <w:tcPr>
            <w:tcW w:w="1134"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2 153</w:t>
            </w:r>
          </w:p>
        </w:tc>
        <w:tc>
          <w:tcPr>
            <w:tcW w:w="1417"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+ 906</w:t>
            </w:r>
          </w:p>
        </w:tc>
      </w:tr>
      <w:tr w:rsidR="00E244EB" w:rsidRPr="00473CF3" w:rsidTr="00473CF3">
        <w:trPr>
          <w:trHeight w:val="255"/>
        </w:trPr>
        <w:tc>
          <w:tcPr>
            <w:tcW w:w="4678" w:type="dxa"/>
            <w:tcBorders>
              <w:top w:val="nil"/>
              <w:left w:val="single" w:sz="8" w:space="0" w:color="0060B0"/>
              <w:bottom w:val="single" w:sz="4" w:space="0" w:color="0060B0"/>
              <w:right w:val="single" w:sz="4" w:space="0" w:color="0060B0"/>
            </w:tcBorders>
            <w:shd w:val="clear" w:color="auto" w:fill="auto"/>
            <w:vAlign w:val="center"/>
            <w:hideMark/>
          </w:tcPr>
          <w:p w:rsidR="00E244EB" w:rsidRPr="00473CF3" w:rsidRDefault="00E244EB" w:rsidP="00E244EB">
            <w:pPr>
              <w:rPr>
                <w:color w:val="000000"/>
                <w:lang w:val="lt-LT"/>
              </w:rPr>
            </w:pPr>
            <w:r w:rsidRPr="00473CF3">
              <w:rPr>
                <w:color w:val="000000"/>
                <w:lang w:val="lt-LT"/>
              </w:rPr>
              <w:t>Pardavimo savikaina</w:t>
            </w:r>
          </w:p>
        </w:tc>
        <w:tc>
          <w:tcPr>
            <w:tcW w:w="1134"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779</w:t>
            </w:r>
          </w:p>
        </w:tc>
        <w:tc>
          <w:tcPr>
            <w:tcW w:w="1276"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1 536</w:t>
            </w:r>
          </w:p>
        </w:tc>
        <w:tc>
          <w:tcPr>
            <w:tcW w:w="1134"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1 545</w:t>
            </w:r>
          </w:p>
        </w:tc>
        <w:tc>
          <w:tcPr>
            <w:tcW w:w="1417"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+ 766</w:t>
            </w:r>
          </w:p>
        </w:tc>
      </w:tr>
      <w:tr w:rsidR="00E244EB" w:rsidRPr="00473CF3" w:rsidTr="00473CF3">
        <w:trPr>
          <w:trHeight w:val="255"/>
        </w:trPr>
        <w:tc>
          <w:tcPr>
            <w:tcW w:w="4678" w:type="dxa"/>
            <w:tcBorders>
              <w:top w:val="nil"/>
              <w:left w:val="single" w:sz="8" w:space="0" w:color="0060B0"/>
              <w:bottom w:val="single" w:sz="4" w:space="0" w:color="0060B0"/>
              <w:right w:val="single" w:sz="4" w:space="0" w:color="0060B0"/>
            </w:tcBorders>
            <w:shd w:val="clear" w:color="auto" w:fill="auto"/>
            <w:vAlign w:val="center"/>
            <w:hideMark/>
          </w:tcPr>
          <w:p w:rsidR="00E244EB" w:rsidRPr="00473CF3" w:rsidRDefault="00E244EB" w:rsidP="00E244EB">
            <w:pPr>
              <w:rPr>
                <w:b/>
                <w:bCs/>
                <w:color w:val="000000"/>
                <w:lang w:val="lt-LT"/>
              </w:rPr>
            </w:pPr>
            <w:r w:rsidRPr="00473CF3">
              <w:rPr>
                <w:b/>
                <w:bCs/>
                <w:color w:val="000000"/>
                <w:lang w:val="lt-LT"/>
              </w:rPr>
              <w:t>Bendras pelnas</w:t>
            </w:r>
          </w:p>
        </w:tc>
        <w:tc>
          <w:tcPr>
            <w:tcW w:w="1134"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lang w:val="lt-LT"/>
              </w:rPr>
            </w:pPr>
            <w:r w:rsidRPr="00473CF3">
              <w:rPr>
                <w:b/>
                <w:bCs/>
                <w:color w:val="000000"/>
                <w:lang w:val="lt-LT"/>
              </w:rPr>
              <w:t>468</w:t>
            </w:r>
          </w:p>
        </w:tc>
        <w:tc>
          <w:tcPr>
            <w:tcW w:w="1276"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lang w:val="lt-LT"/>
              </w:rPr>
            </w:pPr>
            <w:r w:rsidRPr="00473CF3">
              <w:rPr>
                <w:b/>
                <w:bCs/>
                <w:color w:val="000000"/>
                <w:lang w:val="lt-LT"/>
              </w:rPr>
              <w:t>587</w:t>
            </w:r>
          </w:p>
        </w:tc>
        <w:tc>
          <w:tcPr>
            <w:tcW w:w="1134"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b/>
                <w:bCs/>
                <w:color w:val="000000"/>
                <w:lang w:val="lt-LT"/>
              </w:rPr>
            </w:pPr>
            <w:r w:rsidRPr="00473CF3">
              <w:rPr>
                <w:b/>
                <w:bCs/>
                <w:color w:val="000000"/>
                <w:lang w:val="lt-LT"/>
              </w:rPr>
              <w:t>608</w:t>
            </w:r>
          </w:p>
        </w:tc>
        <w:tc>
          <w:tcPr>
            <w:tcW w:w="1417"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b/>
                <w:bCs/>
                <w:color w:val="000000"/>
                <w:lang w:val="lt-LT"/>
              </w:rPr>
            </w:pPr>
            <w:r w:rsidRPr="00473CF3">
              <w:rPr>
                <w:b/>
                <w:bCs/>
                <w:color w:val="000000"/>
                <w:lang w:val="lt-LT"/>
              </w:rPr>
              <w:t>+ 140</w:t>
            </w:r>
          </w:p>
        </w:tc>
      </w:tr>
      <w:tr w:rsidR="00E244EB" w:rsidRPr="00473CF3" w:rsidTr="00473CF3">
        <w:trPr>
          <w:trHeight w:val="255"/>
        </w:trPr>
        <w:tc>
          <w:tcPr>
            <w:tcW w:w="4678" w:type="dxa"/>
            <w:tcBorders>
              <w:top w:val="nil"/>
              <w:left w:val="single" w:sz="8" w:space="0" w:color="0060B0"/>
              <w:bottom w:val="single" w:sz="4" w:space="0" w:color="0060B0"/>
              <w:right w:val="single" w:sz="4" w:space="0" w:color="0060B0"/>
            </w:tcBorders>
            <w:shd w:val="clear" w:color="auto" w:fill="auto"/>
            <w:vAlign w:val="center"/>
            <w:hideMark/>
          </w:tcPr>
          <w:p w:rsidR="00E244EB" w:rsidRPr="00473CF3" w:rsidRDefault="00E244EB" w:rsidP="00E244EB">
            <w:pPr>
              <w:rPr>
                <w:color w:val="000000"/>
                <w:lang w:val="lt-LT"/>
              </w:rPr>
            </w:pPr>
            <w:r w:rsidRPr="00473CF3">
              <w:rPr>
                <w:color w:val="000000"/>
                <w:lang w:val="lt-LT"/>
              </w:rPr>
              <w:t>Veiklos sąnaudos</w:t>
            </w:r>
          </w:p>
        </w:tc>
        <w:tc>
          <w:tcPr>
            <w:tcW w:w="1134"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428</w:t>
            </w:r>
          </w:p>
        </w:tc>
        <w:tc>
          <w:tcPr>
            <w:tcW w:w="1276"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521</w:t>
            </w:r>
          </w:p>
        </w:tc>
        <w:tc>
          <w:tcPr>
            <w:tcW w:w="1134"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538</w:t>
            </w:r>
          </w:p>
        </w:tc>
        <w:tc>
          <w:tcPr>
            <w:tcW w:w="1417"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+ 110</w:t>
            </w:r>
          </w:p>
        </w:tc>
      </w:tr>
      <w:tr w:rsidR="00E244EB" w:rsidRPr="00473CF3" w:rsidTr="00473CF3">
        <w:trPr>
          <w:trHeight w:val="255"/>
        </w:trPr>
        <w:tc>
          <w:tcPr>
            <w:tcW w:w="4678" w:type="dxa"/>
            <w:tcBorders>
              <w:top w:val="nil"/>
              <w:left w:val="single" w:sz="8" w:space="0" w:color="0060B0"/>
              <w:bottom w:val="single" w:sz="4" w:space="0" w:color="0060B0"/>
              <w:right w:val="single" w:sz="4" w:space="0" w:color="0060B0"/>
            </w:tcBorders>
            <w:shd w:val="clear" w:color="auto" w:fill="auto"/>
            <w:vAlign w:val="center"/>
            <w:hideMark/>
          </w:tcPr>
          <w:p w:rsidR="00E244EB" w:rsidRPr="00473CF3" w:rsidRDefault="00E244EB" w:rsidP="00E244EB">
            <w:pPr>
              <w:rPr>
                <w:color w:val="000000"/>
                <w:lang w:val="lt-LT"/>
              </w:rPr>
            </w:pPr>
            <w:r w:rsidRPr="00473CF3">
              <w:rPr>
                <w:color w:val="000000"/>
                <w:lang w:val="lt-LT"/>
              </w:rPr>
              <w:t xml:space="preserve">Tarpinės veiklos pelnas </w:t>
            </w:r>
          </w:p>
        </w:tc>
        <w:tc>
          <w:tcPr>
            <w:tcW w:w="1134"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40</w:t>
            </w:r>
          </w:p>
        </w:tc>
        <w:tc>
          <w:tcPr>
            <w:tcW w:w="1276"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67</w:t>
            </w:r>
          </w:p>
        </w:tc>
        <w:tc>
          <w:tcPr>
            <w:tcW w:w="1134"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70</w:t>
            </w:r>
          </w:p>
        </w:tc>
        <w:tc>
          <w:tcPr>
            <w:tcW w:w="1417"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+ 30</w:t>
            </w:r>
          </w:p>
        </w:tc>
      </w:tr>
      <w:tr w:rsidR="00E244EB" w:rsidRPr="00473CF3" w:rsidTr="00473CF3">
        <w:trPr>
          <w:trHeight w:val="255"/>
        </w:trPr>
        <w:tc>
          <w:tcPr>
            <w:tcW w:w="4678" w:type="dxa"/>
            <w:tcBorders>
              <w:top w:val="nil"/>
              <w:left w:val="single" w:sz="8" w:space="0" w:color="0060B0"/>
              <w:bottom w:val="single" w:sz="4" w:space="0" w:color="0060B0"/>
              <w:right w:val="single" w:sz="4" w:space="0" w:color="0060B0"/>
            </w:tcBorders>
            <w:shd w:val="clear" w:color="auto" w:fill="auto"/>
            <w:vAlign w:val="center"/>
            <w:hideMark/>
          </w:tcPr>
          <w:p w:rsidR="00E244EB" w:rsidRPr="00473CF3" w:rsidRDefault="00E244EB" w:rsidP="00E244EB">
            <w:pPr>
              <w:rPr>
                <w:color w:val="000000"/>
                <w:lang w:val="lt-LT"/>
              </w:rPr>
            </w:pPr>
            <w:r w:rsidRPr="00473CF3">
              <w:rPr>
                <w:color w:val="000000"/>
                <w:lang w:val="lt-LT"/>
              </w:rPr>
              <w:t>Kita veikla</w:t>
            </w:r>
          </w:p>
        </w:tc>
        <w:tc>
          <w:tcPr>
            <w:tcW w:w="1134"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0</w:t>
            </w:r>
          </w:p>
        </w:tc>
        <w:tc>
          <w:tcPr>
            <w:tcW w:w="1276"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1</w:t>
            </w:r>
          </w:p>
        </w:tc>
        <w:tc>
          <w:tcPr>
            <w:tcW w:w="1134"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16</w:t>
            </w:r>
          </w:p>
        </w:tc>
        <w:tc>
          <w:tcPr>
            <w:tcW w:w="1417"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+ 16</w:t>
            </w:r>
          </w:p>
        </w:tc>
      </w:tr>
      <w:tr w:rsidR="00E244EB" w:rsidRPr="00473CF3" w:rsidTr="00473CF3">
        <w:trPr>
          <w:trHeight w:val="270"/>
        </w:trPr>
        <w:tc>
          <w:tcPr>
            <w:tcW w:w="4678" w:type="dxa"/>
            <w:tcBorders>
              <w:top w:val="nil"/>
              <w:left w:val="single" w:sz="8" w:space="0" w:color="0060B0"/>
              <w:bottom w:val="single" w:sz="4" w:space="0" w:color="0060B0"/>
              <w:right w:val="single" w:sz="4" w:space="0" w:color="0060B0"/>
            </w:tcBorders>
            <w:shd w:val="clear" w:color="auto" w:fill="auto"/>
            <w:vAlign w:val="center"/>
            <w:hideMark/>
          </w:tcPr>
          <w:p w:rsidR="00E244EB" w:rsidRPr="00473CF3" w:rsidRDefault="00E244EB" w:rsidP="00E244EB">
            <w:pPr>
              <w:rPr>
                <w:color w:val="000000"/>
                <w:lang w:val="lt-LT"/>
              </w:rPr>
            </w:pPr>
            <w:r w:rsidRPr="00473CF3">
              <w:rPr>
                <w:color w:val="000000"/>
                <w:lang w:val="lt-LT"/>
              </w:rPr>
              <w:t>Finansinė investicinė veikla, pelno mokestis (-)</w:t>
            </w:r>
          </w:p>
        </w:tc>
        <w:tc>
          <w:tcPr>
            <w:tcW w:w="1134"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-9</w:t>
            </w:r>
          </w:p>
        </w:tc>
        <w:tc>
          <w:tcPr>
            <w:tcW w:w="1276"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-8</w:t>
            </w:r>
          </w:p>
        </w:tc>
        <w:tc>
          <w:tcPr>
            <w:tcW w:w="1134"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-6</w:t>
            </w:r>
          </w:p>
        </w:tc>
        <w:tc>
          <w:tcPr>
            <w:tcW w:w="1417" w:type="dxa"/>
            <w:tcBorders>
              <w:top w:val="nil"/>
              <w:left w:val="nil"/>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lang w:val="lt-LT"/>
              </w:rPr>
            </w:pPr>
            <w:r w:rsidRPr="00473CF3">
              <w:rPr>
                <w:color w:val="000000"/>
                <w:lang w:val="lt-LT"/>
              </w:rPr>
              <w:t> + 3</w:t>
            </w:r>
          </w:p>
        </w:tc>
      </w:tr>
      <w:tr w:rsidR="00E244EB" w:rsidRPr="00473CF3" w:rsidTr="00473CF3">
        <w:trPr>
          <w:trHeight w:val="270"/>
        </w:trPr>
        <w:tc>
          <w:tcPr>
            <w:tcW w:w="4678" w:type="dxa"/>
            <w:tcBorders>
              <w:top w:val="nil"/>
              <w:left w:val="single" w:sz="8" w:space="0" w:color="0060B0"/>
              <w:bottom w:val="single" w:sz="8" w:space="0" w:color="0060B0"/>
              <w:right w:val="single" w:sz="4" w:space="0" w:color="0060B0"/>
            </w:tcBorders>
            <w:shd w:val="clear" w:color="auto" w:fill="auto"/>
            <w:noWrap/>
            <w:vAlign w:val="center"/>
            <w:hideMark/>
          </w:tcPr>
          <w:p w:rsidR="00E244EB" w:rsidRPr="00473CF3" w:rsidRDefault="00E244EB" w:rsidP="00E244EB">
            <w:pPr>
              <w:rPr>
                <w:b/>
                <w:bCs/>
                <w:color w:val="000000"/>
                <w:lang w:val="lt-LT"/>
              </w:rPr>
            </w:pPr>
            <w:r w:rsidRPr="00473CF3">
              <w:rPr>
                <w:b/>
                <w:bCs/>
                <w:color w:val="000000"/>
                <w:lang w:val="lt-LT"/>
              </w:rPr>
              <w:t>Grynasis pelnas</w:t>
            </w:r>
          </w:p>
        </w:tc>
        <w:tc>
          <w:tcPr>
            <w:tcW w:w="1134" w:type="dxa"/>
            <w:tcBorders>
              <w:top w:val="nil"/>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lang w:val="lt-LT"/>
              </w:rPr>
            </w:pPr>
            <w:r w:rsidRPr="00473CF3">
              <w:rPr>
                <w:b/>
                <w:bCs/>
                <w:color w:val="000000"/>
                <w:lang w:val="lt-LT"/>
              </w:rPr>
              <w:t>31</w:t>
            </w:r>
          </w:p>
        </w:tc>
        <w:tc>
          <w:tcPr>
            <w:tcW w:w="1276" w:type="dxa"/>
            <w:tcBorders>
              <w:top w:val="nil"/>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lang w:val="lt-LT"/>
              </w:rPr>
            </w:pPr>
            <w:r w:rsidRPr="00473CF3">
              <w:rPr>
                <w:b/>
                <w:bCs/>
                <w:color w:val="000000"/>
                <w:lang w:val="lt-LT"/>
              </w:rPr>
              <w:t>59</w:t>
            </w:r>
          </w:p>
        </w:tc>
        <w:tc>
          <w:tcPr>
            <w:tcW w:w="1134" w:type="dxa"/>
            <w:tcBorders>
              <w:top w:val="nil"/>
              <w:left w:val="nil"/>
              <w:bottom w:val="single" w:sz="8" w:space="0" w:color="0060B0"/>
              <w:right w:val="single" w:sz="8" w:space="0" w:color="0060B0"/>
            </w:tcBorders>
            <w:shd w:val="clear" w:color="auto" w:fill="auto"/>
            <w:noWrap/>
            <w:vAlign w:val="center"/>
            <w:hideMark/>
          </w:tcPr>
          <w:p w:rsidR="00E244EB" w:rsidRPr="00473CF3" w:rsidRDefault="00E244EB" w:rsidP="00E244EB">
            <w:pPr>
              <w:jc w:val="center"/>
              <w:rPr>
                <w:b/>
                <w:bCs/>
                <w:color w:val="000000"/>
                <w:lang w:val="lt-LT"/>
              </w:rPr>
            </w:pPr>
            <w:r w:rsidRPr="00473CF3">
              <w:rPr>
                <w:b/>
                <w:bCs/>
                <w:color w:val="000000"/>
                <w:lang w:val="lt-LT"/>
              </w:rPr>
              <w:t>80</w:t>
            </w:r>
          </w:p>
        </w:tc>
        <w:tc>
          <w:tcPr>
            <w:tcW w:w="1417" w:type="dxa"/>
            <w:tcBorders>
              <w:top w:val="nil"/>
              <w:left w:val="nil"/>
              <w:bottom w:val="single" w:sz="8" w:space="0" w:color="0060B0"/>
              <w:right w:val="single" w:sz="8" w:space="0" w:color="0060B0"/>
            </w:tcBorders>
            <w:shd w:val="clear" w:color="auto" w:fill="auto"/>
            <w:noWrap/>
            <w:vAlign w:val="center"/>
            <w:hideMark/>
          </w:tcPr>
          <w:p w:rsidR="00E244EB" w:rsidRPr="00473CF3" w:rsidRDefault="00E244EB" w:rsidP="00E244EB">
            <w:pPr>
              <w:jc w:val="center"/>
              <w:rPr>
                <w:b/>
                <w:bCs/>
                <w:color w:val="000000"/>
                <w:lang w:val="lt-LT"/>
              </w:rPr>
            </w:pPr>
            <w:r w:rsidRPr="00473CF3">
              <w:rPr>
                <w:b/>
                <w:bCs/>
                <w:color w:val="000000"/>
                <w:lang w:val="lt-LT"/>
              </w:rPr>
              <w:t>+ 49</w:t>
            </w:r>
          </w:p>
        </w:tc>
      </w:tr>
    </w:tbl>
    <w:p w:rsidR="00E244EB" w:rsidRPr="00473CF3" w:rsidRDefault="00E244EB" w:rsidP="00473CF3">
      <w:pPr>
        <w:pStyle w:val="Pagrindinistekstas"/>
        <w:spacing w:line="240" w:lineRule="auto"/>
        <w:ind w:firstLine="0"/>
        <w:jc w:val="both"/>
        <w:rPr>
          <w:color w:val="000000" w:themeColor="text1"/>
          <w:sz w:val="16"/>
          <w:szCs w:val="16"/>
        </w:rPr>
      </w:pPr>
    </w:p>
    <w:p w:rsidR="00E244EB" w:rsidRDefault="00E244EB" w:rsidP="00E244EB">
      <w:pPr>
        <w:pStyle w:val="Pagrindinistekstas"/>
        <w:spacing w:line="240" w:lineRule="auto"/>
        <w:ind w:firstLine="720"/>
        <w:jc w:val="both"/>
        <w:rPr>
          <w:color w:val="000000" w:themeColor="text1"/>
          <w:szCs w:val="24"/>
        </w:rPr>
      </w:pPr>
      <w:r w:rsidRPr="00473CF3">
        <w:rPr>
          <w:color w:val="000000" w:themeColor="text1"/>
          <w:szCs w:val="24"/>
        </w:rPr>
        <w:t>Bendrovės finansinis rezultatas ateinantiems 10 metų, buvo prognozuojamas atsižvelgiant į 3 paskutinių metų finansinio rezultato augimą, didinant pardavimo pajamas, mažinant pardavimo savikainą sutaupyta elektros energijos verte (2 lentelė).</w:t>
      </w:r>
    </w:p>
    <w:p w:rsidR="00DC1AA7" w:rsidRDefault="00DC1AA7" w:rsidP="00E244EB">
      <w:pPr>
        <w:pStyle w:val="Pagrindinistekstas"/>
        <w:spacing w:line="240" w:lineRule="auto"/>
        <w:ind w:firstLine="720"/>
        <w:jc w:val="both"/>
        <w:rPr>
          <w:color w:val="000000" w:themeColor="text1"/>
          <w:szCs w:val="24"/>
        </w:rPr>
      </w:pPr>
    </w:p>
    <w:p w:rsidR="00DC1AA7" w:rsidRDefault="00DC1AA7" w:rsidP="00E244EB">
      <w:pPr>
        <w:pStyle w:val="Pagrindinistekstas"/>
        <w:spacing w:line="240" w:lineRule="auto"/>
        <w:ind w:firstLine="720"/>
        <w:jc w:val="both"/>
        <w:rPr>
          <w:color w:val="000000" w:themeColor="text1"/>
          <w:szCs w:val="24"/>
        </w:rPr>
      </w:pPr>
    </w:p>
    <w:p w:rsidR="00DC1AA7" w:rsidRPr="00473CF3" w:rsidRDefault="00DC1AA7" w:rsidP="00E244EB">
      <w:pPr>
        <w:pStyle w:val="Pagrindinistekstas"/>
        <w:spacing w:line="240" w:lineRule="auto"/>
        <w:ind w:firstLine="720"/>
        <w:jc w:val="both"/>
        <w:rPr>
          <w:color w:val="000000" w:themeColor="text1"/>
          <w:szCs w:val="24"/>
        </w:rPr>
      </w:pPr>
    </w:p>
    <w:tbl>
      <w:tblPr>
        <w:tblW w:w="9781" w:type="dxa"/>
        <w:tblLook w:val="04A0" w:firstRow="1" w:lastRow="0" w:firstColumn="1" w:lastColumn="0" w:noHBand="0" w:noVBand="1"/>
      </w:tblPr>
      <w:tblGrid>
        <w:gridCol w:w="8931"/>
        <w:gridCol w:w="850"/>
      </w:tblGrid>
      <w:tr w:rsidR="00E244EB" w:rsidRPr="00473CF3" w:rsidTr="00473CF3">
        <w:trPr>
          <w:trHeight w:val="468"/>
        </w:trPr>
        <w:tc>
          <w:tcPr>
            <w:tcW w:w="8931" w:type="dxa"/>
            <w:tcBorders>
              <w:top w:val="nil"/>
              <w:left w:val="nil"/>
              <w:bottom w:val="nil"/>
              <w:right w:val="nil"/>
            </w:tcBorders>
            <w:shd w:val="clear" w:color="auto" w:fill="auto"/>
            <w:vAlign w:val="center"/>
            <w:hideMark/>
          </w:tcPr>
          <w:p w:rsidR="00E244EB" w:rsidRPr="00473CF3" w:rsidRDefault="00E244EB" w:rsidP="00E244EB">
            <w:pPr>
              <w:rPr>
                <w:b/>
                <w:bCs/>
                <w:color w:val="0070C0"/>
                <w:sz w:val="18"/>
                <w:szCs w:val="18"/>
                <w:lang w:val="lt-LT"/>
              </w:rPr>
            </w:pPr>
            <w:r w:rsidRPr="00473CF3">
              <w:rPr>
                <w:b/>
                <w:color w:val="0070C0"/>
                <w:lang w:val="lt-LT"/>
              </w:rPr>
              <w:lastRenderedPageBreak/>
              <w:t xml:space="preserve">2 Lentelė. Prognozuojami Bendrovės finansiniai rezultatai 2018-2027 metų laikotarpiui    </w:t>
            </w:r>
          </w:p>
        </w:tc>
        <w:tc>
          <w:tcPr>
            <w:tcW w:w="850" w:type="dxa"/>
            <w:tcBorders>
              <w:top w:val="nil"/>
              <w:left w:val="nil"/>
              <w:bottom w:val="nil"/>
              <w:right w:val="nil"/>
            </w:tcBorders>
            <w:shd w:val="clear" w:color="auto" w:fill="auto"/>
            <w:vAlign w:val="center"/>
          </w:tcPr>
          <w:p w:rsidR="00E244EB" w:rsidRPr="00473CF3" w:rsidRDefault="00E244EB" w:rsidP="00473CF3">
            <w:pPr>
              <w:jc w:val="center"/>
              <w:rPr>
                <w:b/>
                <w:bCs/>
                <w:color w:val="0070C0"/>
                <w:sz w:val="18"/>
                <w:szCs w:val="18"/>
                <w:lang w:val="lt-LT"/>
              </w:rPr>
            </w:pPr>
            <w:r w:rsidRPr="00473CF3">
              <w:rPr>
                <w:b/>
                <w:color w:val="0070C0"/>
                <w:lang w:val="lt-LT"/>
              </w:rPr>
              <w:t xml:space="preserve">tūkst. </w:t>
            </w:r>
            <w:proofErr w:type="spellStart"/>
            <w:r w:rsidRPr="00473CF3">
              <w:rPr>
                <w:b/>
                <w:color w:val="0070C0"/>
                <w:lang w:val="lt-LT"/>
              </w:rPr>
              <w:t>Eur</w:t>
            </w:r>
            <w:proofErr w:type="spellEnd"/>
            <w:r w:rsidRPr="00473CF3">
              <w:rPr>
                <w:b/>
                <w:color w:val="0070C0"/>
                <w:lang w:val="lt-LT"/>
              </w:rPr>
              <w:t>.</w:t>
            </w:r>
          </w:p>
        </w:tc>
      </w:tr>
    </w:tbl>
    <w:p w:rsidR="00E244EB" w:rsidRPr="00473CF3" w:rsidRDefault="00E244EB" w:rsidP="00473CF3">
      <w:pPr>
        <w:pStyle w:val="Pagrindinistekstas"/>
        <w:spacing w:line="240" w:lineRule="auto"/>
        <w:ind w:right="-402" w:firstLine="0"/>
        <w:jc w:val="both"/>
        <w:rPr>
          <w:b/>
          <w:color w:val="4BACC6" w:themeColor="accent5"/>
          <w:sz w:val="20"/>
        </w:rPr>
      </w:pPr>
    </w:p>
    <w:tbl>
      <w:tblPr>
        <w:tblW w:w="9781" w:type="dxa"/>
        <w:tblInd w:w="-10" w:type="dxa"/>
        <w:tblLook w:val="04A0" w:firstRow="1" w:lastRow="0" w:firstColumn="1" w:lastColumn="0" w:noHBand="0" w:noVBand="1"/>
      </w:tblPr>
      <w:tblGrid>
        <w:gridCol w:w="1834"/>
        <w:gridCol w:w="709"/>
        <w:gridCol w:w="709"/>
        <w:gridCol w:w="708"/>
        <w:gridCol w:w="709"/>
        <w:gridCol w:w="709"/>
        <w:gridCol w:w="709"/>
        <w:gridCol w:w="717"/>
        <w:gridCol w:w="709"/>
        <w:gridCol w:w="709"/>
        <w:gridCol w:w="709"/>
        <w:gridCol w:w="850"/>
      </w:tblGrid>
      <w:tr w:rsidR="00E244EB" w:rsidRPr="00473CF3" w:rsidTr="00473CF3">
        <w:trPr>
          <w:trHeight w:val="555"/>
        </w:trPr>
        <w:tc>
          <w:tcPr>
            <w:tcW w:w="1834" w:type="dxa"/>
            <w:tcBorders>
              <w:top w:val="single" w:sz="8" w:space="0" w:color="0060B0"/>
              <w:left w:val="single" w:sz="8" w:space="0" w:color="0060B0"/>
              <w:bottom w:val="single" w:sz="8" w:space="0" w:color="0060B0"/>
              <w:right w:val="nil"/>
            </w:tcBorders>
            <w:shd w:val="clear" w:color="auto" w:fill="auto"/>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Pelno (nuostolių) ataskaitos straipsniai</w:t>
            </w:r>
          </w:p>
        </w:tc>
        <w:tc>
          <w:tcPr>
            <w:tcW w:w="709" w:type="dxa"/>
            <w:tcBorders>
              <w:top w:val="single" w:sz="8" w:space="0" w:color="0060B0"/>
              <w:left w:val="single" w:sz="8" w:space="0" w:color="0060B0"/>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2018</w:t>
            </w:r>
          </w:p>
        </w:tc>
        <w:tc>
          <w:tcPr>
            <w:tcW w:w="709"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2019</w:t>
            </w:r>
          </w:p>
        </w:tc>
        <w:tc>
          <w:tcPr>
            <w:tcW w:w="708"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2020</w:t>
            </w:r>
          </w:p>
        </w:tc>
        <w:tc>
          <w:tcPr>
            <w:tcW w:w="709"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2021</w:t>
            </w:r>
          </w:p>
        </w:tc>
        <w:tc>
          <w:tcPr>
            <w:tcW w:w="709"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2022</w:t>
            </w:r>
          </w:p>
        </w:tc>
        <w:tc>
          <w:tcPr>
            <w:tcW w:w="709"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2023</w:t>
            </w:r>
          </w:p>
        </w:tc>
        <w:tc>
          <w:tcPr>
            <w:tcW w:w="717"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2024</w:t>
            </w:r>
          </w:p>
        </w:tc>
        <w:tc>
          <w:tcPr>
            <w:tcW w:w="709"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2025</w:t>
            </w:r>
          </w:p>
        </w:tc>
        <w:tc>
          <w:tcPr>
            <w:tcW w:w="709"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2026</w:t>
            </w:r>
          </w:p>
        </w:tc>
        <w:tc>
          <w:tcPr>
            <w:tcW w:w="709" w:type="dxa"/>
            <w:tcBorders>
              <w:top w:val="single" w:sz="8" w:space="0" w:color="0060B0"/>
              <w:left w:val="nil"/>
              <w:bottom w:val="single" w:sz="8" w:space="0" w:color="0060B0"/>
              <w:right w:val="single" w:sz="8"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2027</w:t>
            </w:r>
          </w:p>
        </w:tc>
        <w:tc>
          <w:tcPr>
            <w:tcW w:w="850" w:type="dxa"/>
            <w:tcBorders>
              <w:top w:val="single" w:sz="8" w:space="0" w:color="0060B0"/>
              <w:left w:val="single" w:sz="4" w:space="0" w:color="0060B0"/>
              <w:bottom w:val="single" w:sz="8" w:space="0" w:color="0060B0"/>
              <w:right w:val="single" w:sz="8"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Iš viso:</w:t>
            </w:r>
          </w:p>
        </w:tc>
      </w:tr>
      <w:tr w:rsidR="00E244EB" w:rsidRPr="00473CF3" w:rsidTr="00473CF3">
        <w:trPr>
          <w:trHeight w:val="255"/>
        </w:trPr>
        <w:tc>
          <w:tcPr>
            <w:tcW w:w="1834" w:type="dxa"/>
            <w:tcBorders>
              <w:top w:val="nil"/>
              <w:left w:val="single" w:sz="8" w:space="0" w:color="0060B0"/>
              <w:bottom w:val="single" w:sz="4" w:space="0" w:color="0060B0"/>
              <w:right w:val="nil"/>
            </w:tcBorders>
            <w:shd w:val="clear" w:color="auto" w:fill="auto"/>
            <w:vAlign w:val="center"/>
            <w:hideMark/>
          </w:tcPr>
          <w:p w:rsidR="00E244EB" w:rsidRPr="00473CF3" w:rsidRDefault="00E244EB" w:rsidP="00E244EB">
            <w:pPr>
              <w:rPr>
                <w:color w:val="000000"/>
                <w:sz w:val="18"/>
                <w:szCs w:val="18"/>
                <w:lang w:val="lt-LT"/>
              </w:rPr>
            </w:pPr>
            <w:r w:rsidRPr="00473CF3">
              <w:rPr>
                <w:color w:val="000000"/>
                <w:sz w:val="18"/>
                <w:szCs w:val="18"/>
                <w:lang w:val="lt-LT"/>
              </w:rPr>
              <w:t>Pardavimo pajamos</w:t>
            </w:r>
          </w:p>
        </w:tc>
        <w:tc>
          <w:tcPr>
            <w:tcW w:w="709" w:type="dxa"/>
            <w:tcBorders>
              <w:top w:val="nil"/>
              <w:left w:val="single" w:sz="8" w:space="0" w:color="0060B0"/>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2188</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2223</w:t>
            </w:r>
          </w:p>
        </w:tc>
        <w:tc>
          <w:tcPr>
            <w:tcW w:w="708"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2248</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2273</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2293</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2313</w:t>
            </w:r>
          </w:p>
        </w:tc>
        <w:tc>
          <w:tcPr>
            <w:tcW w:w="717"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2333</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2353</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2373</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2393</w:t>
            </w:r>
          </w:p>
        </w:tc>
        <w:tc>
          <w:tcPr>
            <w:tcW w:w="850" w:type="dxa"/>
            <w:tcBorders>
              <w:top w:val="nil"/>
              <w:left w:val="single" w:sz="8" w:space="0" w:color="0060B0"/>
              <w:bottom w:val="single" w:sz="4" w:space="0" w:color="0060B0"/>
              <w:right w:val="single" w:sz="8"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22989</w:t>
            </w:r>
          </w:p>
        </w:tc>
      </w:tr>
      <w:tr w:rsidR="00E244EB" w:rsidRPr="00473CF3" w:rsidTr="00473CF3">
        <w:trPr>
          <w:trHeight w:val="255"/>
        </w:trPr>
        <w:tc>
          <w:tcPr>
            <w:tcW w:w="1834" w:type="dxa"/>
            <w:tcBorders>
              <w:top w:val="nil"/>
              <w:left w:val="single" w:sz="8" w:space="0" w:color="0060B0"/>
              <w:bottom w:val="single" w:sz="4" w:space="0" w:color="0060B0"/>
              <w:right w:val="nil"/>
            </w:tcBorders>
            <w:shd w:val="clear" w:color="auto" w:fill="auto"/>
            <w:vAlign w:val="center"/>
            <w:hideMark/>
          </w:tcPr>
          <w:p w:rsidR="00E244EB" w:rsidRPr="00473CF3" w:rsidRDefault="00E244EB" w:rsidP="00E244EB">
            <w:pPr>
              <w:rPr>
                <w:color w:val="000000"/>
                <w:sz w:val="18"/>
                <w:szCs w:val="18"/>
                <w:lang w:val="lt-LT"/>
              </w:rPr>
            </w:pPr>
            <w:r w:rsidRPr="00473CF3">
              <w:rPr>
                <w:color w:val="000000"/>
                <w:sz w:val="18"/>
                <w:szCs w:val="18"/>
                <w:lang w:val="lt-LT"/>
              </w:rPr>
              <w:t>Pardavimo savikaina</w:t>
            </w:r>
          </w:p>
        </w:tc>
        <w:tc>
          <w:tcPr>
            <w:tcW w:w="709" w:type="dxa"/>
            <w:tcBorders>
              <w:top w:val="nil"/>
              <w:left w:val="single" w:sz="8" w:space="0" w:color="0060B0"/>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1539</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1525</w:t>
            </w:r>
          </w:p>
        </w:tc>
        <w:tc>
          <w:tcPr>
            <w:tcW w:w="708"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1500</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1462</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1406</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1384</w:t>
            </w:r>
          </w:p>
        </w:tc>
        <w:tc>
          <w:tcPr>
            <w:tcW w:w="717"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1344</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1319</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1290</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1255</w:t>
            </w:r>
          </w:p>
        </w:tc>
        <w:tc>
          <w:tcPr>
            <w:tcW w:w="850" w:type="dxa"/>
            <w:tcBorders>
              <w:top w:val="nil"/>
              <w:left w:val="single" w:sz="8" w:space="0" w:color="0060B0"/>
              <w:bottom w:val="single" w:sz="4" w:space="0" w:color="0060B0"/>
              <w:right w:val="single" w:sz="8"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14024</w:t>
            </w:r>
          </w:p>
        </w:tc>
      </w:tr>
      <w:tr w:rsidR="00E244EB" w:rsidRPr="00473CF3" w:rsidTr="00473CF3">
        <w:trPr>
          <w:trHeight w:val="255"/>
        </w:trPr>
        <w:tc>
          <w:tcPr>
            <w:tcW w:w="1834" w:type="dxa"/>
            <w:tcBorders>
              <w:top w:val="nil"/>
              <w:left w:val="single" w:sz="8" w:space="0" w:color="0060B0"/>
              <w:bottom w:val="single" w:sz="4" w:space="0" w:color="0060B0"/>
              <w:right w:val="nil"/>
            </w:tcBorders>
            <w:shd w:val="clear" w:color="auto" w:fill="auto"/>
            <w:vAlign w:val="center"/>
            <w:hideMark/>
          </w:tcPr>
          <w:p w:rsidR="00E244EB" w:rsidRPr="00473CF3" w:rsidRDefault="00E244EB" w:rsidP="00E244EB">
            <w:pPr>
              <w:rPr>
                <w:b/>
                <w:bCs/>
                <w:color w:val="000000"/>
                <w:sz w:val="18"/>
                <w:szCs w:val="18"/>
                <w:lang w:val="lt-LT"/>
              </w:rPr>
            </w:pPr>
            <w:r w:rsidRPr="00473CF3">
              <w:rPr>
                <w:b/>
                <w:bCs/>
                <w:color w:val="000000"/>
                <w:sz w:val="18"/>
                <w:szCs w:val="18"/>
                <w:lang w:val="lt-LT"/>
              </w:rPr>
              <w:t>Bendras pelnas</w:t>
            </w:r>
          </w:p>
        </w:tc>
        <w:tc>
          <w:tcPr>
            <w:tcW w:w="709" w:type="dxa"/>
            <w:tcBorders>
              <w:top w:val="nil"/>
              <w:left w:val="single" w:sz="8" w:space="0" w:color="0060B0"/>
              <w:bottom w:val="single" w:sz="4"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649</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698</w:t>
            </w:r>
          </w:p>
        </w:tc>
        <w:tc>
          <w:tcPr>
            <w:tcW w:w="708"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748</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811</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887</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929</w:t>
            </w:r>
          </w:p>
        </w:tc>
        <w:tc>
          <w:tcPr>
            <w:tcW w:w="717"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989</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1034</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1083</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1138</w:t>
            </w:r>
          </w:p>
        </w:tc>
        <w:tc>
          <w:tcPr>
            <w:tcW w:w="850" w:type="dxa"/>
            <w:tcBorders>
              <w:top w:val="nil"/>
              <w:left w:val="single" w:sz="8" w:space="0" w:color="0060B0"/>
              <w:bottom w:val="single" w:sz="4" w:space="0" w:color="0060B0"/>
              <w:right w:val="single" w:sz="8"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8965</w:t>
            </w:r>
          </w:p>
        </w:tc>
      </w:tr>
      <w:tr w:rsidR="00E244EB" w:rsidRPr="00473CF3" w:rsidTr="00473CF3">
        <w:trPr>
          <w:trHeight w:val="255"/>
        </w:trPr>
        <w:tc>
          <w:tcPr>
            <w:tcW w:w="1834" w:type="dxa"/>
            <w:tcBorders>
              <w:top w:val="nil"/>
              <w:left w:val="single" w:sz="8" w:space="0" w:color="0060B0"/>
              <w:bottom w:val="single" w:sz="4" w:space="0" w:color="0060B0"/>
              <w:right w:val="nil"/>
            </w:tcBorders>
            <w:shd w:val="clear" w:color="auto" w:fill="auto"/>
            <w:vAlign w:val="center"/>
            <w:hideMark/>
          </w:tcPr>
          <w:p w:rsidR="00E244EB" w:rsidRPr="00473CF3" w:rsidRDefault="00E244EB" w:rsidP="00E244EB">
            <w:pPr>
              <w:rPr>
                <w:color w:val="000000"/>
                <w:sz w:val="18"/>
                <w:szCs w:val="18"/>
                <w:lang w:val="lt-LT"/>
              </w:rPr>
            </w:pPr>
            <w:r w:rsidRPr="00473CF3">
              <w:rPr>
                <w:color w:val="000000"/>
                <w:sz w:val="18"/>
                <w:szCs w:val="18"/>
                <w:lang w:val="lt-LT"/>
              </w:rPr>
              <w:t>Veiklos sąnaudos</w:t>
            </w:r>
          </w:p>
        </w:tc>
        <w:tc>
          <w:tcPr>
            <w:tcW w:w="709" w:type="dxa"/>
            <w:tcBorders>
              <w:top w:val="nil"/>
              <w:left w:val="single" w:sz="8" w:space="0" w:color="0060B0"/>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548</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558</w:t>
            </w:r>
          </w:p>
        </w:tc>
        <w:tc>
          <w:tcPr>
            <w:tcW w:w="708"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560</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562</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564</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566</w:t>
            </w:r>
          </w:p>
        </w:tc>
        <w:tc>
          <w:tcPr>
            <w:tcW w:w="717"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568</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570</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572</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574</w:t>
            </w:r>
          </w:p>
        </w:tc>
        <w:tc>
          <w:tcPr>
            <w:tcW w:w="850" w:type="dxa"/>
            <w:tcBorders>
              <w:top w:val="nil"/>
              <w:left w:val="single" w:sz="8" w:space="0" w:color="0060B0"/>
              <w:bottom w:val="single" w:sz="4" w:space="0" w:color="0060B0"/>
              <w:right w:val="single" w:sz="8"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5644</w:t>
            </w:r>
          </w:p>
        </w:tc>
      </w:tr>
      <w:tr w:rsidR="00E244EB" w:rsidRPr="00473CF3" w:rsidTr="00473CF3">
        <w:trPr>
          <w:trHeight w:val="255"/>
        </w:trPr>
        <w:tc>
          <w:tcPr>
            <w:tcW w:w="1834" w:type="dxa"/>
            <w:tcBorders>
              <w:top w:val="nil"/>
              <w:left w:val="single" w:sz="8" w:space="0" w:color="0060B0"/>
              <w:bottom w:val="single" w:sz="4" w:space="0" w:color="0060B0"/>
              <w:right w:val="nil"/>
            </w:tcBorders>
            <w:shd w:val="clear" w:color="auto" w:fill="auto"/>
            <w:vAlign w:val="center"/>
            <w:hideMark/>
          </w:tcPr>
          <w:p w:rsidR="00E244EB" w:rsidRPr="00473CF3" w:rsidRDefault="00E244EB" w:rsidP="00E244EB">
            <w:pPr>
              <w:rPr>
                <w:color w:val="000000"/>
                <w:sz w:val="18"/>
                <w:szCs w:val="18"/>
                <w:lang w:val="lt-LT"/>
              </w:rPr>
            </w:pPr>
            <w:r w:rsidRPr="00473CF3">
              <w:rPr>
                <w:color w:val="000000"/>
                <w:sz w:val="18"/>
                <w:szCs w:val="18"/>
                <w:lang w:val="lt-LT"/>
              </w:rPr>
              <w:t xml:space="preserve">Tarpinės veiklos pelnas </w:t>
            </w:r>
          </w:p>
        </w:tc>
        <w:tc>
          <w:tcPr>
            <w:tcW w:w="709" w:type="dxa"/>
            <w:tcBorders>
              <w:top w:val="nil"/>
              <w:left w:val="single" w:sz="8" w:space="0" w:color="0060B0"/>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101</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140</w:t>
            </w:r>
          </w:p>
        </w:tc>
        <w:tc>
          <w:tcPr>
            <w:tcW w:w="708"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188</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249</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323</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363</w:t>
            </w:r>
          </w:p>
        </w:tc>
        <w:tc>
          <w:tcPr>
            <w:tcW w:w="717"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421</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464</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511</w:t>
            </w:r>
          </w:p>
        </w:tc>
        <w:tc>
          <w:tcPr>
            <w:tcW w:w="709"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564</w:t>
            </w:r>
          </w:p>
        </w:tc>
        <w:tc>
          <w:tcPr>
            <w:tcW w:w="850" w:type="dxa"/>
            <w:tcBorders>
              <w:top w:val="nil"/>
              <w:left w:val="single" w:sz="8" w:space="0" w:color="0060B0"/>
              <w:bottom w:val="single" w:sz="4" w:space="0" w:color="0060B0"/>
              <w:right w:val="single" w:sz="8"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3321</w:t>
            </w:r>
          </w:p>
        </w:tc>
      </w:tr>
      <w:tr w:rsidR="00E244EB" w:rsidRPr="00473CF3" w:rsidTr="00473CF3">
        <w:trPr>
          <w:trHeight w:val="255"/>
        </w:trPr>
        <w:tc>
          <w:tcPr>
            <w:tcW w:w="1834" w:type="dxa"/>
            <w:tcBorders>
              <w:top w:val="nil"/>
              <w:left w:val="single" w:sz="8" w:space="0" w:color="0060B0"/>
              <w:bottom w:val="single" w:sz="4" w:space="0" w:color="0060B0"/>
              <w:right w:val="nil"/>
            </w:tcBorders>
            <w:shd w:val="clear" w:color="auto" w:fill="auto"/>
            <w:vAlign w:val="center"/>
            <w:hideMark/>
          </w:tcPr>
          <w:p w:rsidR="00E244EB" w:rsidRPr="00473CF3" w:rsidRDefault="00E244EB" w:rsidP="00E244EB">
            <w:pPr>
              <w:rPr>
                <w:color w:val="000000"/>
                <w:sz w:val="18"/>
                <w:szCs w:val="18"/>
                <w:lang w:val="lt-LT"/>
              </w:rPr>
            </w:pPr>
            <w:r w:rsidRPr="00473CF3">
              <w:rPr>
                <w:color w:val="000000"/>
                <w:sz w:val="18"/>
                <w:szCs w:val="18"/>
                <w:lang w:val="lt-LT"/>
              </w:rPr>
              <w:t>Kita veikla</w:t>
            </w:r>
          </w:p>
        </w:tc>
        <w:tc>
          <w:tcPr>
            <w:tcW w:w="709" w:type="dxa"/>
            <w:tcBorders>
              <w:top w:val="nil"/>
              <w:left w:val="single" w:sz="8" w:space="0" w:color="0060B0"/>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16</w:t>
            </w:r>
          </w:p>
        </w:tc>
        <w:tc>
          <w:tcPr>
            <w:tcW w:w="709"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16</w:t>
            </w:r>
          </w:p>
        </w:tc>
        <w:tc>
          <w:tcPr>
            <w:tcW w:w="708"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16</w:t>
            </w:r>
          </w:p>
        </w:tc>
        <w:tc>
          <w:tcPr>
            <w:tcW w:w="709"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16</w:t>
            </w:r>
          </w:p>
        </w:tc>
        <w:tc>
          <w:tcPr>
            <w:tcW w:w="709"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16</w:t>
            </w:r>
          </w:p>
        </w:tc>
        <w:tc>
          <w:tcPr>
            <w:tcW w:w="709"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16</w:t>
            </w:r>
          </w:p>
        </w:tc>
        <w:tc>
          <w:tcPr>
            <w:tcW w:w="717"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16</w:t>
            </w:r>
          </w:p>
        </w:tc>
        <w:tc>
          <w:tcPr>
            <w:tcW w:w="709"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16</w:t>
            </w:r>
          </w:p>
        </w:tc>
        <w:tc>
          <w:tcPr>
            <w:tcW w:w="709"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16</w:t>
            </w:r>
          </w:p>
        </w:tc>
        <w:tc>
          <w:tcPr>
            <w:tcW w:w="709"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16</w:t>
            </w:r>
          </w:p>
        </w:tc>
        <w:tc>
          <w:tcPr>
            <w:tcW w:w="850" w:type="dxa"/>
            <w:tcBorders>
              <w:top w:val="nil"/>
              <w:left w:val="single" w:sz="8" w:space="0" w:color="0060B0"/>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164</w:t>
            </w:r>
          </w:p>
        </w:tc>
      </w:tr>
      <w:tr w:rsidR="00E244EB" w:rsidRPr="00473CF3" w:rsidTr="00473CF3">
        <w:trPr>
          <w:trHeight w:val="540"/>
        </w:trPr>
        <w:tc>
          <w:tcPr>
            <w:tcW w:w="1834" w:type="dxa"/>
            <w:tcBorders>
              <w:top w:val="nil"/>
              <w:left w:val="single" w:sz="8" w:space="0" w:color="0060B0"/>
              <w:bottom w:val="nil"/>
              <w:right w:val="nil"/>
            </w:tcBorders>
            <w:shd w:val="clear" w:color="auto" w:fill="auto"/>
            <w:vAlign w:val="center"/>
            <w:hideMark/>
          </w:tcPr>
          <w:p w:rsidR="00E244EB" w:rsidRPr="00473CF3" w:rsidRDefault="00E244EB" w:rsidP="00E244EB">
            <w:pPr>
              <w:rPr>
                <w:color w:val="000000"/>
                <w:sz w:val="18"/>
                <w:szCs w:val="18"/>
                <w:lang w:val="lt-LT"/>
              </w:rPr>
            </w:pPr>
            <w:r w:rsidRPr="00473CF3">
              <w:rPr>
                <w:color w:val="000000"/>
                <w:sz w:val="18"/>
                <w:szCs w:val="18"/>
                <w:lang w:val="lt-LT"/>
              </w:rPr>
              <w:t>finansinė investicinė veikla, pelno mokestis (-)</w:t>
            </w:r>
          </w:p>
        </w:tc>
        <w:tc>
          <w:tcPr>
            <w:tcW w:w="709" w:type="dxa"/>
            <w:tcBorders>
              <w:top w:val="nil"/>
              <w:left w:val="single" w:sz="8" w:space="0" w:color="0060B0"/>
              <w:bottom w:val="nil"/>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18</w:t>
            </w:r>
          </w:p>
        </w:tc>
        <w:tc>
          <w:tcPr>
            <w:tcW w:w="709" w:type="dxa"/>
            <w:tcBorders>
              <w:top w:val="nil"/>
              <w:left w:val="nil"/>
              <w:bottom w:val="nil"/>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23</w:t>
            </w:r>
          </w:p>
        </w:tc>
        <w:tc>
          <w:tcPr>
            <w:tcW w:w="708" w:type="dxa"/>
            <w:tcBorders>
              <w:top w:val="nil"/>
              <w:left w:val="nil"/>
              <w:bottom w:val="nil"/>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31</w:t>
            </w:r>
          </w:p>
        </w:tc>
        <w:tc>
          <w:tcPr>
            <w:tcW w:w="709" w:type="dxa"/>
            <w:tcBorders>
              <w:top w:val="nil"/>
              <w:left w:val="nil"/>
              <w:bottom w:val="nil"/>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40</w:t>
            </w:r>
          </w:p>
        </w:tc>
        <w:tc>
          <w:tcPr>
            <w:tcW w:w="709" w:type="dxa"/>
            <w:tcBorders>
              <w:top w:val="nil"/>
              <w:left w:val="nil"/>
              <w:bottom w:val="nil"/>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51</w:t>
            </w:r>
          </w:p>
        </w:tc>
        <w:tc>
          <w:tcPr>
            <w:tcW w:w="709" w:type="dxa"/>
            <w:tcBorders>
              <w:top w:val="nil"/>
              <w:left w:val="nil"/>
              <w:bottom w:val="nil"/>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57</w:t>
            </w:r>
          </w:p>
        </w:tc>
        <w:tc>
          <w:tcPr>
            <w:tcW w:w="717" w:type="dxa"/>
            <w:tcBorders>
              <w:top w:val="nil"/>
              <w:left w:val="nil"/>
              <w:bottom w:val="nil"/>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66</w:t>
            </w:r>
          </w:p>
        </w:tc>
        <w:tc>
          <w:tcPr>
            <w:tcW w:w="709" w:type="dxa"/>
            <w:tcBorders>
              <w:top w:val="nil"/>
              <w:left w:val="nil"/>
              <w:bottom w:val="nil"/>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72</w:t>
            </w:r>
          </w:p>
        </w:tc>
        <w:tc>
          <w:tcPr>
            <w:tcW w:w="709" w:type="dxa"/>
            <w:tcBorders>
              <w:top w:val="nil"/>
              <w:left w:val="nil"/>
              <w:bottom w:val="nil"/>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79</w:t>
            </w:r>
          </w:p>
        </w:tc>
        <w:tc>
          <w:tcPr>
            <w:tcW w:w="709" w:type="dxa"/>
            <w:tcBorders>
              <w:top w:val="nil"/>
              <w:left w:val="nil"/>
              <w:bottom w:val="nil"/>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87</w:t>
            </w:r>
          </w:p>
        </w:tc>
        <w:tc>
          <w:tcPr>
            <w:tcW w:w="850" w:type="dxa"/>
            <w:tcBorders>
              <w:top w:val="nil"/>
              <w:left w:val="single" w:sz="8" w:space="0" w:color="0060B0"/>
              <w:bottom w:val="single" w:sz="8" w:space="0" w:color="0060B0"/>
              <w:right w:val="single" w:sz="8"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523</w:t>
            </w:r>
          </w:p>
          <w:p w:rsidR="00E244EB" w:rsidRPr="00473CF3" w:rsidRDefault="00E244EB" w:rsidP="00E244EB">
            <w:pPr>
              <w:jc w:val="center"/>
              <w:rPr>
                <w:color w:val="000000"/>
                <w:sz w:val="18"/>
                <w:szCs w:val="18"/>
                <w:lang w:val="lt-LT"/>
              </w:rPr>
            </w:pPr>
          </w:p>
        </w:tc>
      </w:tr>
      <w:tr w:rsidR="00E244EB" w:rsidRPr="00473CF3" w:rsidTr="00473CF3">
        <w:trPr>
          <w:trHeight w:val="270"/>
        </w:trPr>
        <w:tc>
          <w:tcPr>
            <w:tcW w:w="1834" w:type="dxa"/>
            <w:tcBorders>
              <w:top w:val="single" w:sz="8" w:space="0" w:color="0060B0"/>
              <w:left w:val="single" w:sz="8" w:space="0" w:color="0060B0"/>
              <w:bottom w:val="single" w:sz="8" w:space="0" w:color="0060B0"/>
              <w:right w:val="nil"/>
            </w:tcBorders>
            <w:shd w:val="clear" w:color="auto" w:fill="auto"/>
            <w:vAlign w:val="center"/>
            <w:hideMark/>
          </w:tcPr>
          <w:p w:rsidR="00E244EB" w:rsidRPr="00473CF3" w:rsidRDefault="00E244EB" w:rsidP="00E244EB">
            <w:pPr>
              <w:rPr>
                <w:b/>
                <w:bCs/>
                <w:color w:val="000000"/>
                <w:sz w:val="18"/>
                <w:szCs w:val="18"/>
                <w:lang w:val="lt-LT"/>
              </w:rPr>
            </w:pPr>
            <w:r w:rsidRPr="00473CF3">
              <w:rPr>
                <w:b/>
                <w:bCs/>
                <w:color w:val="000000"/>
                <w:sz w:val="18"/>
                <w:szCs w:val="18"/>
                <w:lang w:val="lt-LT"/>
              </w:rPr>
              <w:t>Grynasis pelnas</w:t>
            </w:r>
          </w:p>
        </w:tc>
        <w:tc>
          <w:tcPr>
            <w:tcW w:w="709" w:type="dxa"/>
            <w:tcBorders>
              <w:top w:val="single" w:sz="8" w:space="0" w:color="0060B0"/>
              <w:left w:val="single" w:sz="8" w:space="0" w:color="0060B0"/>
              <w:bottom w:val="single" w:sz="8"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100</w:t>
            </w:r>
          </w:p>
        </w:tc>
        <w:tc>
          <w:tcPr>
            <w:tcW w:w="709" w:type="dxa"/>
            <w:tcBorders>
              <w:top w:val="single" w:sz="8" w:space="0" w:color="0060B0"/>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133</w:t>
            </w:r>
          </w:p>
        </w:tc>
        <w:tc>
          <w:tcPr>
            <w:tcW w:w="708" w:type="dxa"/>
            <w:tcBorders>
              <w:top w:val="single" w:sz="8" w:space="0" w:color="0060B0"/>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173</w:t>
            </w:r>
          </w:p>
        </w:tc>
        <w:tc>
          <w:tcPr>
            <w:tcW w:w="709" w:type="dxa"/>
            <w:tcBorders>
              <w:top w:val="single" w:sz="8" w:space="0" w:color="0060B0"/>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225</w:t>
            </w:r>
          </w:p>
        </w:tc>
        <w:tc>
          <w:tcPr>
            <w:tcW w:w="709" w:type="dxa"/>
            <w:tcBorders>
              <w:top w:val="single" w:sz="8" w:space="0" w:color="0060B0"/>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288</w:t>
            </w:r>
          </w:p>
        </w:tc>
        <w:tc>
          <w:tcPr>
            <w:tcW w:w="709" w:type="dxa"/>
            <w:tcBorders>
              <w:top w:val="single" w:sz="8" w:space="0" w:color="0060B0"/>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322</w:t>
            </w:r>
          </w:p>
        </w:tc>
        <w:tc>
          <w:tcPr>
            <w:tcW w:w="717" w:type="dxa"/>
            <w:tcBorders>
              <w:top w:val="single" w:sz="8" w:space="0" w:color="0060B0"/>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372</w:t>
            </w:r>
          </w:p>
        </w:tc>
        <w:tc>
          <w:tcPr>
            <w:tcW w:w="709" w:type="dxa"/>
            <w:tcBorders>
              <w:top w:val="single" w:sz="8" w:space="0" w:color="0060B0"/>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408</w:t>
            </w:r>
          </w:p>
        </w:tc>
        <w:tc>
          <w:tcPr>
            <w:tcW w:w="709" w:type="dxa"/>
            <w:tcBorders>
              <w:top w:val="single" w:sz="8" w:space="0" w:color="0060B0"/>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448</w:t>
            </w:r>
          </w:p>
        </w:tc>
        <w:tc>
          <w:tcPr>
            <w:tcW w:w="709" w:type="dxa"/>
            <w:tcBorders>
              <w:top w:val="single" w:sz="8" w:space="0" w:color="0060B0"/>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493</w:t>
            </w:r>
          </w:p>
        </w:tc>
        <w:tc>
          <w:tcPr>
            <w:tcW w:w="850" w:type="dxa"/>
            <w:tcBorders>
              <w:top w:val="nil"/>
              <w:left w:val="single" w:sz="8" w:space="0" w:color="0060B0"/>
              <w:bottom w:val="single" w:sz="8" w:space="0" w:color="0060B0"/>
              <w:right w:val="single" w:sz="8" w:space="0" w:color="0060B0"/>
            </w:tcBorders>
            <w:shd w:val="clear" w:color="auto" w:fill="auto"/>
            <w:noWrap/>
            <w:vAlign w:val="center"/>
          </w:tcPr>
          <w:p w:rsidR="00E244EB" w:rsidRPr="00473CF3" w:rsidRDefault="00E244EB" w:rsidP="00E244EB">
            <w:pPr>
              <w:jc w:val="center"/>
              <w:rPr>
                <w:b/>
                <w:bCs/>
                <w:color w:val="000000"/>
                <w:sz w:val="18"/>
                <w:szCs w:val="18"/>
                <w:lang w:val="lt-LT"/>
              </w:rPr>
            </w:pPr>
            <w:r w:rsidRPr="00473CF3">
              <w:rPr>
                <w:b/>
                <w:bCs/>
                <w:color w:val="000000"/>
                <w:sz w:val="18"/>
                <w:szCs w:val="18"/>
                <w:lang w:val="lt-LT"/>
              </w:rPr>
              <w:t>2962</w:t>
            </w:r>
          </w:p>
        </w:tc>
      </w:tr>
    </w:tbl>
    <w:p w:rsidR="00E244EB" w:rsidRPr="00473CF3" w:rsidRDefault="00E244EB" w:rsidP="00473CF3">
      <w:pPr>
        <w:pStyle w:val="Pagrindinistekstas"/>
        <w:spacing w:line="240" w:lineRule="auto"/>
        <w:ind w:firstLine="0"/>
        <w:jc w:val="both"/>
        <w:rPr>
          <w:color w:val="000000" w:themeColor="text1"/>
          <w:szCs w:val="24"/>
          <w:highlight w:val="yellow"/>
        </w:rPr>
      </w:pPr>
    </w:p>
    <w:bookmarkEnd w:id="1"/>
    <w:p w:rsidR="00E244EB" w:rsidRPr="00473CF3" w:rsidRDefault="00E244EB" w:rsidP="00E244EB">
      <w:pPr>
        <w:pStyle w:val="Pagrindinistekstas"/>
        <w:spacing w:line="240" w:lineRule="auto"/>
        <w:ind w:firstLine="720"/>
        <w:jc w:val="both"/>
        <w:rPr>
          <w:color w:val="000000" w:themeColor="text1"/>
          <w:szCs w:val="24"/>
        </w:rPr>
      </w:pPr>
      <w:r w:rsidRPr="00473CF3">
        <w:rPr>
          <w:color w:val="000000" w:themeColor="text1"/>
          <w:szCs w:val="24"/>
        </w:rPr>
        <w:t>Bendrovės daugiau pajamų ir didesnį pelną uždirbtų iš:</w:t>
      </w:r>
    </w:p>
    <w:p w:rsidR="00E244EB" w:rsidRPr="00473CF3" w:rsidRDefault="00E244EB" w:rsidP="00E244EB">
      <w:pPr>
        <w:pStyle w:val="Pagrindinistekstas"/>
        <w:spacing w:line="240" w:lineRule="auto"/>
        <w:ind w:firstLine="720"/>
        <w:jc w:val="both"/>
        <w:rPr>
          <w:szCs w:val="24"/>
        </w:rPr>
      </w:pPr>
      <w:r w:rsidRPr="00473CF3">
        <w:rPr>
          <w:color w:val="000000" w:themeColor="text1"/>
          <w:szCs w:val="24"/>
        </w:rPr>
        <w:t xml:space="preserve">2.1. </w:t>
      </w:r>
      <w:r w:rsidR="003504BE">
        <w:rPr>
          <w:color w:val="000000" w:themeColor="text1"/>
          <w:szCs w:val="24"/>
        </w:rPr>
        <w:t>įgyvendindama</w:t>
      </w:r>
      <w:r w:rsidRPr="00473CF3">
        <w:rPr>
          <w:color w:val="000000" w:themeColor="text1"/>
          <w:szCs w:val="24"/>
        </w:rPr>
        <w:t xml:space="preserve"> L</w:t>
      </w:r>
      <w:r w:rsidR="00473CF3">
        <w:rPr>
          <w:color w:val="000000" w:themeColor="text1"/>
          <w:szCs w:val="24"/>
        </w:rPr>
        <w:t xml:space="preserve">ietuvos Respublikos </w:t>
      </w:r>
      <w:r w:rsidR="003504BE">
        <w:rPr>
          <w:color w:val="000000" w:themeColor="text1"/>
          <w:szCs w:val="24"/>
        </w:rPr>
        <w:t>Viešųjų pirkimų įstatymo 10 straipsnio 1 dalies</w:t>
      </w:r>
      <w:r w:rsidRPr="00473CF3">
        <w:rPr>
          <w:color w:val="000000" w:themeColor="text1"/>
          <w:szCs w:val="24"/>
        </w:rPr>
        <w:t xml:space="preserve"> 2</w:t>
      </w:r>
      <w:r w:rsidR="003504BE">
        <w:rPr>
          <w:color w:val="000000" w:themeColor="text1"/>
          <w:szCs w:val="24"/>
        </w:rPr>
        <w:t xml:space="preserve"> punkto nuostatą,</w:t>
      </w:r>
      <w:r w:rsidRPr="00473CF3">
        <w:rPr>
          <w:color w:val="000000" w:themeColor="text1"/>
          <w:szCs w:val="24"/>
        </w:rPr>
        <w:t xml:space="preserve"> </w:t>
      </w:r>
      <w:r w:rsidR="003504BE" w:rsidRPr="00473CF3">
        <w:rPr>
          <w:color w:val="000000" w:themeColor="text1"/>
          <w:szCs w:val="24"/>
        </w:rPr>
        <w:t xml:space="preserve">Šiuo metu </w:t>
      </w:r>
      <w:r w:rsidRPr="00473CF3">
        <w:rPr>
          <w:color w:val="000000" w:themeColor="text1"/>
          <w:szCs w:val="24"/>
        </w:rPr>
        <w:t>Bendrovė d</w:t>
      </w:r>
      <w:r w:rsidRPr="00473CF3">
        <w:rPr>
          <w:szCs w:val="24"/>
        </w:rPr>
        <w:t>irb</w:t>
      </w:r>
      <w:r w:rsidR="003504BE">
        <w:rPr>
          <w:szCs w:val="24"/>
        </w:rPr>
        <w:t xml:space="preserve">dama </w:t>
      </w:r>
      <w:r w:rsidRPr="00473CF3">
        <w:rPr>
          <w:szCs w:val="24"/>
        </w:rPr>
        <w:t xml:space="preserve">pagal pavedimo sutartis, vadovaujasi sąlyga, kad </w:t>
      </w:r>
      <w:r w:rsidR="003504BE">
        <w:rPr>
          <w:szCs w:val="24"/>
        </w:rPr>
        <w:br/>
      </w:r>
      <w:r w:rsidRPr="00473CF3">
        <w:rPr>
          <w:szCs w:val="24"/>
        </w:rPr>
        <w:t>80 % Bendrovės užsakymų būtų savivaldybės (viešajam interesui tenkinti), o miesto gyventojų, kitų įmonių bei organizacijų užsakymų tenkinimui - 20 % apyvartos (pajamos iš kitų šaltinių).</w:t>
      </w:r>
      <w:r w:rsidRPr="00473CF3">
        <w:rPr>
          <w:color w:val="000000" w:themeColor="text1"/>
          <w:szCs w:val="24"/>
        </w:rPr>
        <w:t xml:space="preserve"> Šiuo metu Bendrovės lėšos iš kitų šaltinių sudaro apie 18 </w:t>
      </w:r>
      <w:r w:rsidRPr="00473CF3">
        <w:rPr>
          <w:szCs w:val="24"/>
        </w:rPr>
        <w:t>% Bendrovės apyvartos, todėl Bendrovė nebegali gauti daugiau pajamų iš kitų šaltinių. Perdavus turtą, Savivaldybė iš Bendrovės rinkos sąlygomis pirktų apšvietimo paslaugą. Bendrovė nebebūtų ribojama gauti pajamų iš kitų šaltinių. Iš kitų šaltinių planuojame ne mažiau kaip 30  %  pajamų.</w:t>
      </w:r>
    </w:p>
    <w:p w:rsidR="00E244EB" w:rsidRPr="00473CF3" w:rsidRDefault="00E244EB" w:rsidP="00E244EB">
      <w:pPr>
        <w:pStyle w:val="Pagrindinistekstas"/>
        <w:spacing w:line="240" w:lineRule="auto"/>
        <w:ind w:firstLine="720"/>
        <w:jc w:val="both"/>
        <w:rPr>
          <w:szCs w:val="24"/>
        </w:rPr>
      </w:pPr>
      <w:r w:rsidRPr="00473CF3">
        <w:rPr>
          <w:szCs w:val="24"/>
        </w:rPr>
        <w:t>2.2. Bendrovė planuoja perimti kitų rinkos dalyvių tinklus – pavyzdžiui didžiųjų prekybos centrų– gautų papildomų pajamų už jų eksploataciją. Didėtų pajamos ir Bendrovės pelnas, kuris vėlgi būtų investuojamas į turto atnaujinimą. Bendrovė investuotų į mokyklų, stadionų, kiemų, viešųjų erdvių apšvietimo įrengimą/atnaujinimą.</w:t>
      </w:r>
    </w:p>
    <w:p w:rsidR="00E244EB" w:rsidRPr="00473CF3" w:rsidRDefault="00E244EB" w:rsidP="00E244EB">
      <w:pPr>
        <w:pStyle w:val="Pagrindinistekstas"/>
        <w:spacing w:line="240" w:lineRule="auto"/>
        <w:ind w:firstLine="720"/>
        <w:jc w:val="both"/>
        <w:rPr>
          <w:szCs w:val="24"/>
        </w:rPr>
      </w:pPr>
      <w:r w:rsidRPr="00473CF3">
        <w:rPr>
          <w:szCs w:val="24"/>
        </w:rPr>
        <w:t xml:space="preserve">2.3. Bendrovė, turėdama turtą, galėtų imti paskolas tinklų atnaujinimui. Investuojant į atsinaujinančias technologijas (LED technologijos), mažėtų elektros sąnaudos. </w:t>
      </w:r>
      <w:r w:rsidRPr="00473CF3">
        <w:rPr>
          <w:color w:val="000000" w:themeColor="text1"/>
          <w:szCs w:val="24"/>
        </w:rPr>
        <w:t>Atnaujinant turtą ir investuojant į naująsias apšvietimo technologijas (LED apšvietimas), būtų ne tik daugiau ir geriau apšviestų gatvių (geriau tenkinami miestiečių poreikiai, pagražėtų miesto aplinka) bet ir suvartojama mažiau elektros energijos (savivaldybė taupytų biudžeto lėšas);</w:t>
      </w:r>
    </w:p>
    <w:p w:rsidR="00E244EB" w:rsidRPr="00473CF3" w:rsidRDefault="00E244EB" w:rsidP="00E244EB">
      <w:pPr>
        <w:pStyle w:val="Pagrindinistekstas"/>
        <w:spacing w:line="240" w:lineRule="auto"/>
        <w:ind w:firstLine="720"/>
        <w:jc w:val="both"/>
      </w:pPr>
      <w:r w:rsidRPr="00473CF3">
        <w:rPr>
          <w:color w:val="000000" w:themeColor="text1"/>
          <w:szCs w:val="24"/>
        </w:rPr>
        <w:t xml:space="preserve">Klaipėdos miesto savivaldybė per 2018 metus už apšvietimo tinklų, perduotų patikėjimo teise Bendrovei, elektrą sumokėjo 832 tūkst. </w:t>
      </w:r>
      <w:proofErr w:type="spellStart"/>
      <w:r w:rsidRPr="00473CF3">
        <w:rPr>
          <w:color w:val="000000" w:themeColor="text1"/>
          <w:szCs w:val="24"/>
        </w:rPr>
        <w:t>Eur</w:t>
      </w:r>
      <w:proofErr w:type="spellEnd"/>
      <w:r w:rsidRPr="00473CF3">
        <w:rPr>
          <w:color w:val="000000" w:themeColor="text1"/>
          <w:szCs w:val="24"/>
        </w:rPr>
        <w:t xml:space="preserve">.  Per dešimt metų iš prognozuojamo pelno 2 962 tūkst. </w:t>
      </w:r>
      <w:proofErr w:type="spellStart"/>
      <w:r w:rsidRPr="00473CF3">
        <w:rPr>
          <w:color w:val="000000" w:themeColor="text1"/>
          <w:szCs w:val="24"/>
        </w:rPr>
        <w:t>Eur</w:t>
      </w:r>
      <w:proofErr w:type="spellEnd"/>
      <w:r w:rsidRPr="00473CF3">
        <w:rPr>
          <w:color w:val="000000" w:themeColor="text1"/>
          <w:szCs w:val="24"/>
        </w:rPr>
        <w:t xml:space="preserve"> būtų pakeista apie 6 900 vnt. šviestuvų su LED apšvietimu. Tokiu būdu per 20 metų Bendrovė atnaujintų visus šviestuvus į LED. Per 10 metų, kasmet didėjant LED šviestuvų skaičiui, būtų sutaupyta elektros energijos už 764 tūkst. </w:t>
      </w:r>
      <w:proofErr w:type="spellStart"/>
      <w:r w:rsidRPr="00473CF3">
        <w:rPr>
          <w:color w:val="000000" w:themeColor="text1"/>
          <w:szCs w:val="24"/>
        </w:rPr>
        <w:t>Eur</w:t>
      </w:r>
      <w:proofErr w:type="spellEnd"/>
      <w:r w:rsidRPr="00473CF3">
        <w:rPr>
          <w:color w:val="000000" w:themeColor="text1"/>
          <w:szCs w:val="24"/>
        </w:rPr>
        <w:t xml:space="preserve">, </w:t>
      </w:r>
      <w:proofErr w:type="spellStart"/>
      <w:r w:rsidRPr="00473CF3">
        <w:rPr>
          <w:color w:val="000000" w:themeColor="text1"/>
          <w:szCs w:val="24"/>
        </w:rPr>
        <w:t>t.y</w:t>
      </w:r>
      <w:proofErr w:type="spellEnd"/>
      <w:r w:rsidRPr="00473CF3">
        <w:rPr>
          <w:color w:val="000000" w:themeColor="text1"/>
          <w:szCs w:val="24"/>
        </w:rPr>
        <w:t xml:space="preserve">. kasmet sutaupoma suma už elektros energiją per 10 metų pasiektų iki 20 %, o per 20 metų atnaujinus visus šviestuvus, elektros energijos sutaupymas siektų iki 50 %  nuo dabar mokamos sumos, apie 416 tūkst. </w:t>
      </w:r>
      <w:proofErr w:type="spellStart"/>
      <w:r w:rsidRPr="00473CF3">
        <w:rPr>
          <w:color w:val="000000" w:themeColor="text1"/>
          <w:szCs w:val="24"/>
        </w:rPr>
        <w:t>Eur</w:t>
      </w:r>
      <w:proofErr w:type="spellEnd"/>
      <w:r w:rsidRPr="00473CF3">
        <w:rPr>
          <w:color w:val="000000" w:themeColor="text1"/>
          <w:szCs w:val="24"/>
        </w:rPr>
        <w:t>. per metus.</w:t>
      </w:r>
    </w:p>
    <w:p w:rsidR="00E244EB" w:rsidRPr="00473CF3" w:rsidRDefault="00E244EB" w:rsidP="00E244EB">
      <w:pPr>
        <w:pStyle w:val="Pagrindinistekstas"/>
        <w:spacing w:line="240" w:lineRule="auto"/>
        <w:ind w:firstLine="720"/>
        <w:jc w:val="both"/>
      </w:pPr>
    </w:p>
    <w:p w:rsidR="00E244EB" w:rsidRPr="00473CF3" w:rsidRDefault="00E244EB" w:rsidP="00E244EB">
      <w:pPr>
        <w:jc w:val="both"/>
        <w:rPr>
          <w:b/>
          <w:bCs/>
          <w:color w:val="0060B0"/>
          <w:sz w:val="18"/>
          <w:szCs w:val="18"/>
          <w:lang w:val="lt-LT"/>
        </w:rPr>
      </w:pPr>
      <w:r w:rsidRPr="00473CF3">
        <w:rPr>
          <w:b/>
          <w:bCs/>
          <w:color w:val="0060B0"/>
          <w:sz w:val="18"/>
          <w:szCs w:val="18"/>
          <w:lang w:val="lt-LT"/>
        </w:rPr>
        <w:t>3 Lentelė. Investicijos į LED šviestuvus ir ekonominė nauda  2018-2027 metų  laikotarpiu</w:t>
      </w:r>
    </w:p>
    <w:p w:rsidR="00E244EB" w:rsidRPr="00473CF3" w:rsidRDefault="00E244EB" w:rsidP="00E244EB">
      <w:pPr>
        <w:pStyle w:val="Pagrindinistekstas"/>
        <w:spacing w:line="240" w:lineRule="auto"/>
        <w:ind w:firstLine="720"/>
        <w:jc w:val="both"/>
      </w:pPr>
    </w:p>
    <w:tbl>
      <w:tblPr>
        <w:tblW w:w="9460" w:type="dxa"/>
        <w:tblLook w:val="04A0" w:firstRow="1" w:lastRow="0" w:firstColumn="1" w:lastColumn="0" w:noHBand="0" w:noVBand="1"/>
      </w:tblPr>
      <w:tblGrid>
        <w:gridCol w:w="2200"/>
        <w:gridCol w:w="660"/>
        <w:gridCol w:w="660"/>
        <w:gridCol w:w="660"/>
        <w:gridCol w:w="660"/>
        <w:gridCol w:w="660"/>
        <w:gridCol w:w="660"/>
        <w:gridCol w:w="660"/>
        <w:gridCol w:w="660"/>
        <w:gridCol w:w="660"/>
        <w:gridCol w:w="660"/>
        <w:gridCol w:w="660"/>
      </w:tblGrid>
      <w:tr w:rsidR="00E244EB" w:rsidRPr="00473CF3" w:rsidTr="00E244EB">
        <w:trPr>
          <w:trHeight w:val="270"/>
        </w:trPr>
        <w:tc>
          <w:tcPr>
            <w:tcW w:w="2200" w:type="dxa"/>
            <w:tcBorders>
              <w:top w:val="single" w:sz="8" w:space="0" w:color="0060B0"/>
              <w:left w:val="single" w:sz="8" w:space="0" w:color="0060B0"/>
              <w:bottom w:val="single" w:sz="8" w:space="0" w:color="0060B0"/>
              <w:right w:val="nil"/>
            </w:tcBorders>
            <w:shd w:val="clear" w:color="auto" w:fill="auto"/>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Straipsnio pavadinimas</w:t>
            </w:r>
          </w:p>
        </w:tc>
        <w:tc>
          <w:tcPr>
            <w:tcW w:w="660" w:type="dxa"/>
            <w:tcBorders>
              <w:top w:val="single" w:sz="8" w:space="0" w:color="0060B0"/>
              <w:left w:val="single" w:sz="8" w:space="0" w:color="0060B0"/>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2018</w:t>
            </w:r>
          </w:p>
        </w:tc>
        <w:tc>
          <w:tcPr>
            <w:tcW w:w="660"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2019</w:t>
            </w:r>
          </w:p>
        </w:tc>
        <w:tc>
          <w:tcPr>
            <w:tcW w:w="660"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2020</w:t>
            </w:r>
          </w:p>
        </w:tc>
        <w:tc>
          <w:tcPr>
            <w:tcW w:w="660"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2021</w:t>
            </w:r>
          </w:p>
        </w:tc>
        <w:tc>
          <w:tcPr>
            <w:tcW w:w="660"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2022</w:t>
            </w:r>
          </w:p>
        </w:tc>
        <w:tc>
          <w:tcPr>
            <w:tcW w:w="660"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2023</w:t>
            </w:r>
          </w:p>
        </w:tc>
        <w:tc>
          <w:tcPr>
            <w:tcW w:w="660"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2024</w:t>
            </w:r>
          </w:p>
        </w:tc>
        <w:tc>
          <w:tcPr>
            <w:tcW w:w="660"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2025</w:t>
            </w:r>
          </w:p>
        </w:tc>
        <w:tc>
          <w:tcPr>
            <w:tcW w:w="660" w:type="dxa"/>
            <w:tcBorders>
              <w:top w:val="single" w:sz="8" w:space="0" w:color="0060B0"/>
              <w:left w:val="nil"/>
              <w:bottom w:val="single" w:sz="8" w:space="0" w:color="0060B0"/>
              <w:right w:val="single" w:sz="4"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2026</w:t>
            </w:r>
          </w:p>
        </w:tc>
        <w:tc>
          <w:tcPr>
            <w:tcW w:w="660" w:type="dxa"/>
            <w:tcBorders>
              <w:top w:val="single" w:sz="8" w:space="0" w:color="0060B0"/>
              <w:left w:val="nil"/>
              <w:bottom w:val="single" w:sz="8" w:space="0" w:color="0060B0"/>
              <w:right w:val="single" w:sz="8"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2027</w:t>
            </w:r>
          </w:p>
        </w:tc>
        <w:tc>
          <w:tcPr>
            <w:tcW w:w="660" w:type="dxa"/>
            <w:tcBorders>
              <w:top w:val="single" w:sz="8" w:space="0" w:color="0060B0"/>
              <w:left w:val="single" w:sz="4" w:space="0" w:color="0060B0"/>
              <w:bottom w:val="single" w:sz="8" w:space="0" w:color="0060B0"/>
              <w:right w:val="single" w:sz="8" w:space="0" w:color="0060B0"/>
            </w:tcBorders>
            <w:shd w:val="clear" w:color="auto" w:fill="auto"/>
            <w:noWrap/>
            <w:vAlign w:val="center"/>
            <w:hideMark/>
          </w:tcPr>
          <w:p w:rsidR="00E244EB" w:rsidRPr="00473CF3" w:rsidRDefault="00E244EB" w:rsidP="00E244EB">
            <w:pPr>
              <w:jc w:val="center"/>
              <w:rPr>
                <w:b/>
                <w:bCs/>
                <w:color w:val="000000"/>
                <w:sz w:val="18"/>
                <w:szCs w:val="18"/>
                <w:lang w:val="lt-LT"/>
              </w:rPr>
            </w:pPr>
            <w:r w:rsidRPr="00473CF3">
              <w:rPr>
                <w:b/>
                <w:bCs/>
                <w:color w:val="000000"/>
                <w:sz w:val="18"/>
                <w:szCs w:val="18"/>
                <w:lang w:val="lt-LT"/>
              </w:rPr>
              <w:t>Iš viso:</w:t>
            </w:r>
          </w:p>
        </w:tc>
      </w:tr>
      <w:tr w:rsidR="00E244EB" w:rsidRPr="00473CF3" w:rsidTr="00E244EB">
        <w:trPr>
          <w:trHeight w:val="480"/>
        </w:trPr>
        <w:tc>
          <w:tcPr>
            <w:tcW w:w="2200" w:type="dxa"/>
            <w:tcBorders>
              <w:top w:val="nil"/>
              <w:left w:val="single" w:sz="8" w:space="0" w:color="0060B0"/>
              <w:bottom w:val="single" w:sz="4" w:space="0" w:color="0060B0"/>
              <w:right w:val="single" w:sz="4" w:space="0" w:color="0060B0"/>
            </w:tcBorders>
            <w:shd w:val="clear" w:color="auto" w:fill="auto"/>
            <w:vAlign w:val="center"/>
            <w:hideMark/>
          </w:tcPr>
          <w:p w:rsidR="00E244EB" w:rsidRPr="00473CF3" w:rsidRDefault="00E244EB" w:rsidP="00E244EB">
            <w:pPr>
              <w:rPr>
                <w:color w:val="000000"/>
                <w:sz w:val="18"/>
                <w:szCs w:val="18"/>
                <w:lang w:val="lt-LT"/>
              </w:rPr>
            </w:pPr>
            <w:r w:rsidRPr="00473CF3">
              <w:rPr>
                <w:color w:val="000000"/>
                <w:sz w:val="18"/>
                <w:szCs w:val="18"/>
                <w:lang w:val="lt-LT"/>
              </w:rPr>
              <w:t>Pakeistų LED šviestuvų  kiekis (iš  pelno) vnt.*</w:t>
            </w:r>
          </w:p>
        </w:tc>
        <w:tc>
          <w:tcPr>
            <w:tcW w:w="660" w:type="dxa"/>
            <w:tcBorders>
              <w:top w:val="nil"/>
              <w:left w:val="nil"/>
              <w:bottom w:val="single" w:sz="4"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232</w:t>
            </w:r>
          </w:p>
        </w:tc>
        <w:tc>
          <w:tcPr>
            <w:tcW w:w="660"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309</w:t>
            </w:r>
          </w:p>
        </w:tc>
        <w:tc>
          <w:tcPr>
            <w:tcW w:w="660"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403</w:t>
            </w:r>
          </w:p>
        </w:tc>
        <w:tc>
          <w:tcPr>
            <w:tcW w:w="660"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524</w:t>
            </w:r>
          </w:p>
        </w:tc>
        <w:tc>
          <w:tcPr>
            <w:tcW w:w="660"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670</w:t>
            </w:r>
          </w:p>
        </w:tc>
        <w:tc>
          <w:tcPr>
            <w:tcW w:w="660"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749</w:t>
            </w:r>
          </w:p>
        </w:tc>
        <w:tc>
          <w:tcPr>
            <w:tcW w:w="660"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864</w:t>
            </w:r>
          </w:p>
        </w:tc>
        <w:tc>
          <w:tcPr>
            <w:tcW w:w="660"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949</w:t>
            </w:r>
          </w:p>
        </w:tc>
        <w:tc>
          <w:tcPr>
            <w:tcW w:w="660"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1042</w:t>
            </w:r>
          </w:p>
        </w:tc>
        <w:tc>
          <w:tcPr>
            <w:tcW w:w="660" w:type="dxa"/>
            <w:tcBorders>
              <w:top w:val="nil"/>
              <w:left w:val="nil"/>
              <w:bottom w:val="single" w:sz="4" w:space="0" w:color="0060B0"/>
              <w:right w:val="single" w:sz="4"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1147</w:t>
            </w:r>
          </w:p>
        </w:tc>
        <w:tc>
          <w:tcPr>
            <w:tcW w:w="660" w:type="dxa"/>
            <w:tcBorders>
              <w:top w:val="nil"/>
              <w:left w:val="single" w:sz="8" w:space="0" w:color="0060B0"/>
              <w:bottom w:val="single" w:sz="4" w:space="0" w:color="0060B0"/>
              <w:right w:val="single" w:sz="8" w:space="0" w:color="0060B0"/>
            </w:tcBorders>
            <w:shd w:val="clear" w:color="auto" w:fill="auto"/>
            <w:noWrap/>
            <w:vAlign w:val="center"/>
            <w:hideMark/>
          </w:tcPr>
          <w:p w:rsidR="00E244EB" w:rsidRPr="00473CF3" w:rsidRDefault="00E244EB" w:rsidP="00E244EB">
            <w:pPr>
              <w:jc w:val="center"/>
              <w:rPr>
                <w:color w:val="000000"/>
                <w:sz w:val="18"/>
                <w:szCs w:val="18"/>
                <w:lang w:val="lt-LT"/>
              </w:rPr>
            </w:pPr>
            <w:r w:rsidRPr="00473CF3">
              <w:rPr>
                <w:color w:val="000000"/>
                <w:sz w:val="18"/>
                <w:szCs w:val="18"/>
                <w:lang w:val="lt-LT"/>
              </w:rPr>
              <w:t>6889</w:t>
            </w:r>
          </w:p>
        </w:tc>
      </w:tr>
      <w:tr w:rsidR="00E244EB" w:rsidRPr="00473CF3" w:rsidTr="00E244EB">
        <w:trPr>
          <w:trHeight w:val="495"/>
        </w:trPr>
        <w:tc>
          <w:tcPr>
            <w:tcW w:w="2200" w:type="dxa"/>
            <w:tcBorders>
              <w:top w:val="nil"/>
              <w:left w:val="single" w:sz="8" w:space="0" w:color="0060B0"/>
              <w:bottom w:val="single" w:sz="8" w:space="0" w:color="0060B0"/>
              <w:right w:val="single" w:sz="4" w:space="0" w:color="0060B0"/>
            </w:tcBorders>
            <w:shd w:val="clear" w:color="auto" w:fill="auto"/>
            <w:vAlign w:val="center"/>
            <w:hideMark/>
          </w:tcPr>
          <w:p w:rsidR="00E244EB" w:rsidRPr="00473CF3" w:rsidRDefault="00E244EB" w:rsidP="00E244EB">
            <w:pPr>
              <w:rPr>
                <w:color w:val="000000"/>
                <w:sz w:val="18"/>
                <w:szCs w:val="18"/>
                <w:lang w:val="lt-LT"/>
              </w:rPr>
            </w:pPr>
            <w:r w:rsidRPr="00473CF3">
              <w:rPr>
                <w:color w:val="000000"/>
                <w:sz w:val="18"/>
                <w:szCs w:val="18"/>
                <w:lang w:val="lt-LT"/>
              </w:rPr>
              <w:t>Sutaupyta el. energijos suma per metus  (</w:t>
            </w:r>
            <w:proofErr w:type="spellStart"/>
            <w:r w:rsidRPr="00473CF3">
              <w:rPr>
                <w:color w:val="000000"/>
                <w:sz w:val="18"/>
                <w:szCs w:val="18"/>
                <w:lang w:val="lt-LT"/>
              </w:rPr>
              <w:t>tūkst.Eur</w:t>
            </w:r>
            <w:proofErr w:type="spellEnd"/>
            <w:r w:rsidRPr="00473CF3">
              <w:rPr>
                <w:color w:val="000000"/>
                <w:sz w:val="18"/>
                <w:szCs w:val="18"/>
                <w:lang w:val="lt-LT"/>
              </w:rPr>
              <w:t>)**</w:t>
            </w:r>
          </w:p>
        </w:tc>
        <w:tc>
          <w:tcPr>
            <w:tcW w:w="660" w:type="dxa"/>
            <w:tcBorders>
              <w:top w:val="nil"/>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6</w:t>
            </w:r>
          </w:p>
        </w:tc>
        <w:tc>
          <w:tcPr>
            <w:tcW w:w="660" w:type="dxa"/>
            <w:tcBorders>
              <w:top w:val="nil"/>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14</w:t>
            </w:r>
          </w:p>
        </w:tc>
        <w:tc>
          <w:tcPr>
            <w:tcW w:w="660" w:type="dxa"/>
            <w:tcBorders>
              <w:top w:val="nil"/>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25</w:t>
            </w:r>
          </w:p>
        </w:tc>
        <w:tc>
          <w:tcPr>
            <w:tcW w:w="660" w:type="dxa"/>
            <w:tcBorders>
              <w:top w:val="nil"/>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38</w:t>
            </w:r>
          </w:p>
        </w:tc>
        <w:tc>
          <w:tcPr>
            <w:tcW w:w="660" w:type="dxa"/>
            <w:tcBorders>
              <w:top w:val="nil"/>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56</w:t>
            </w:r>
          </w:p>
        </w:tc>
        <w:tc>
          <w:tcPr>
            <w:tcW w:w="660" w:type="dxa"/>
            <w:tcBorders>
              <w:top w:val="nil"/>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75</w:t>
            </w:r>
          </w:p>
        </w:tc>
        <w:tc>
          <w:tcPr>
            <w:tcW w:w="660" w:type="dxa"/>
            <w:tcBorders>
              <w:top w:val="nil"/>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98</w:t>
            </w:r>
          </w:p>
        </w:tc>
        <w:tc>
          <w:tcPr>
            <w:tcW w:w="660" w:type="dxa"/>
            <w:tcBorders>
              <w:top w:val="nil"/>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123</w:t>
            </w:r>
          </w:p>
        </w:tc>
        <w:tc>
          <w:tcPr>
            <w:tcW w:w="660" w:type="dxa"/>
            <w:tcBorders>
              <w:top w:val="nil"/>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150</w:t>
            </w:r>
          </w:p>
        </w:tc>
        <w:tc>
          <w:tcPr>
            <w:tcW w:w="660" w:type="dxa"/>
            <w:tcBorders>
              <w:top w:val="nil"/>
              <w:left w:val="nil"/>
              <w:bottom w:val="single" w:sz="8" w:space="0" w:color="0060B0"/>
              <w:right w:val="single" w:sz="4"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180</w:t>
            </w:r>
          </w:p>
        </w:tc>
        <w:tc>
          <w:tcPr>
            <w:tcW w:w="660" w:type="dxa"/>
            <w:tcBorders>
              <w:top w:val="nil"/>
              <w:left w:val="single" w:sz="8" w:space="0" w:color="0060B0"/>
              <w:bottom w:val="single" w:sz="8" w:space="0" w:color="0060B0"/>
              <w:right w:val="single" w:sz="8" w:space="0" w:color="0060B0"/>
            </w:tcBorders>
            <w:shd w:val="clear" w:color="auto" w:fill="auto"/>
            <w:noWrap/>
            <w:vAlign w:val="center"/>
          </w:tcPr>
          <w:p w:rsidR="00E244EB" w:rsidRPr="00473CF3" w:rsidRDefault="00E244EB" w:rsidP="00E244EB">
            <w:pPr>
              <w:jc w:val="center"/>
              <w:rPr>
                <w:color w:val="000000"/>
                <w:sz w:val="18"/>
                <w:szCs w:val="18"/>
                <w:lang w:val="lt-LT"/>
              </w:rPr>
            </w:pPr>
            <w:r w:rsidRPr="00473CF3">
              <w:rPr>
                <w:color w:val="000000"/>
                <w:sz w:val="18"/>
                <w:szCs w:val="18"/>
                <w:lang w:val="lt-LT"/>
              </w:rPr>
              <w:t>764</w:t>
            </w:r>
          </w:p>
        </w:tc>
      </w:tr>
    </w:tbl>
    <w:p w:rsidR="00E244EB" w:rsidRPr="00473CF3" w:rsidRDefault="00E244EB" w:rsidP="00E244EB">
      <w:pPr>
        <w:pStyle w:val="Pagrindinistekstas"/>
        <w:spacing w:line="240" w:lineRule="auto"/>
        <w:ind w:left="720" w:firstLine="0"/>
        <w:jc w:val="both"/>
        <w:rPr>
          <w:sz w:val="18"/>
          <w:szCs w:val="18"/>
        </w:rPr>
      </w:pPr>
      <w:r w:rsidRPr="00473CF3">
        <w:rPr>
          <w:sz w:val="18"/>
          <w:szCs w:val="18"/>
        </w:rPr>
        <w:t xml:space="preserve">*LED šviestuvo pakeitimo kaina 430 </w:t>
      </w:r>
      <w:proofErr w:type="spellStart"/>
      <w:r w:rsidRPr="00473CF3">
        <w:rPr>
          <w:sz w:val="18"/>
          <w:szCs w:val="18"/>
        </w:rPr>
        <w:t>Eur</w:t>
      </w:r>
      <w:proofErr w:type="spellEnd"/>
      <w:r w:rsidRPr="00473CF3">
        <w:rPr>
          <w:sz w:val="18"/>
          <w:szCs w:val="18"/>
        </w:rPr>
        <w:t>.</w:t>
      </w:r>
    </w:p>
    <w:p w:rsidR="00E244EB" w:rsidRPr="00473CF3" w:rsidRDefault="00E244EB" w:rsidP="00E244EB">
      <w:pPr>
        <w:pStyle w:val="Pagrindinistekstas"/>
        <w:spacing w:line="240" w:lineRule="auto"/>
        <w:ind w:left="720" w:firstLine="0"/>
        <w:jc w:val="both"/>
        <w:rPr>
          <w:sz w:val="18"/>
          <w:szCs w:val="18"/>
        </w:rPr>
      </w:pPr>
      <w:r w:rsidRPr="00473CF3">
        <w:rPr>
          <w:sz w:val="18"/>
          <w:szCs w:val="18"/>
        </w:rPr>
        <w:t xml:space="preserve">**LED šviestuvo sutaupoma 50 % el. energijos.. </w:t>
      </w:r>
      <w:proofErr w:type="spellStart"/>
      <w:r w:rsidRPr="00473CF3">
        <w:rPr>
          <w:sz w:val="18"/>
          <w:szCs w:val="18"/>
        </w:rPr>
        <w:t>Vid</w:t>
      </w:r>
      <w:proofErr w:type="spellEnd"/>
      <w:r w:rsidRPr="00473CF3">
        <w:rPr>
          <w:sz w:val="18"/>
          <w:szCs w:val="18"/>
        </w:rPr>
        <w:t xml:space="preserve">. šviestuvo sunaudojama </w:t>
      </w:r>
      <w:proofErr w:type="spellStart"/>
      <w:r w:rsidRPr="00473CF3">
        <w:rPr>
          <w:sz w:val="18"/>
          <w:szCs w:val="18"/>
        </w:rPr>
        <w:t>el.energija</w:t>
      </w:r>
      <w:proofErr w:type="spellEnd"/>
      <w:r w:rsidRPr="00473CF3">
        <w:rPr>
          <w:sz w:val="18"/>
          <w:szCs w:val="18"/>
        </w:rPr>
        <w:t xml:space="preserve"> per metus 0,052 tūkst. </w:t>
      </w:r>
      <w:proofErr w:type="spellStart"/>
      <w:r w:rsidRPr="00473CF3">
        <w:rPr>
          <w:sz w:val="18"/>
          <w:szCs w:val="18"/>
        </w:rPr>
        <w:t>Eur</w:t>
      </w:r>
      <w:proofErr w:type="spellEnd"/>
      <w:r w:rsidRPr="00473CF3">
        <w:rPr>
          <w:sz w:val="18"/>
          <w:szCs w:val="18"/>
        </w:rPr>
        <w:t>.</w:t>
      </w:r>
    </w:p>
    <w:p w:rsidR="00E244EB" w:rsidRPr="00473CF3" w:rsidRDefault="00E244EB" w:rsidP="00E244EB">
      <w:pPr>
        <w:pStyle w:val="Pagrindinistekstas"/>
        <w:spacing w:line="240" w:lineRule="auto"/>
        <w:ind w:firstLine="720"/>
        <w:jc w:val="both"/>
        <w:rPr>
          <w:color w:val="000000" w:themeColor="text1"/>
          <w:szCs w:val="24"/>
          <w:highlight w:val="yellow"/>
        </w:rPr>
      </w:pPr>
    </w:p>
    <w:p w:rsidR="00E244EB" w:rsidRPr="00473CF3" w:rsidRDefault="00E244EB" w:rsidP="00E244EB">
      <w:pPr>
        <w:pStyle w:val="Pagrindinistekstas"/>
        <w:spacing w:line="240" w:lineRule="auto"/>
        <w:ind w:firstLine="720"/>
        <w:jc w:val="both"/>
        <w:rPr>
          <w:color w:val="000000" w:themeColor="text1"/>
          <w:szCs w:val="24"/>
        </w:rPr>
      </w:pPr>
      <w:r w:rsidRPr="00473CF3">
        <w:rPr>
          <w:color w:val="000000" w:themeColor="text1"/>
          <w:szCs w:val="24"/>
        </w:rPr>
        <w:t>Atsižvelgiant į aukščiau išdėstytą, ši investicija tenkina privataus investuotojo principą.</w:t>
      </w:r>
    </w:p>
    <w:p w:rsidR="00E244EB" w:rsidRPr="00473CF3" w:rsidRDefault="00E244EB" w:rsidP="00E244EB">
      <w:pPr>
        <w:pStyle w:val="Pagrindinistekstas"/>
        <w:spacing w:line="240" w:lineRule="auto"/>
        <w:ind w:firstLine="720"/>
        <w:jc w:val="both"/>
        <w:rPr>
          <w:color w:val="000000" w:themeColor="text1"/>
          <w:szCs w:val="24"/>
        </w:rPr>
      </w:pPr>
      <w:r w:rsidRPr="00473CF3">
        <w:rPr>
          <w:color w:val="000000" w:themeColor="text1"/>
          <w:szCs w:val="24"/>
        </w:rPr>
        <w:t>3. Kadangi miesto apšvietimo infrastruktūra yra pakankamai nusidėvėjusi ir prastos būklės, Bendrovė atliktų turto atnaujinimo darbus ne tik savo lėšomis, bet ir operatyviau (mažesnis administracinis aparatas, greitesnės viešųjų pirkimų procedūros, trumpesni įgyvendinimo terminai);</w:t>
      </w:r>
    </w:p>
    <w:p w:rsidR="00E244EB" w:rsidRPr="00473CF3" w:rsidRDefault="00E244EB" w:rsidP="00E244EB">
      <w:pPr>
        <w:pStyle w:val="Pagrindinistekstas"/>
        <w:spacing w:line="240" w:lineRule="auto"/>
        <w:ind w:firstLine="720"/>
        <w:jc w:val="both"/>
        <w:rPr>
          <w:color w:val="000000" w:themeColor="text1"/>
          <w:szCs w:val="24"/>
        </w:rPr>
      </w:pPr>
      <w:r w:rsidRPr="00473CF3">
        <w:rPr>
          <w:color w:val="000000" w:themeColor="text1"/>
          <w:szCs w:val="24"/>
        </w:rPr>
        <w:lastRenderedPageBreak/>
        <w:t>4. Bendrovė gavusį turtą galėtų metodiškai ir sistemiškai atnaujinti apšvietimo tinklus (už Bendrovės lėšas būtų parengta ir patvirtinta (suderinus su miesto Savivaldybe) miesto apšvietimo koncepcija, nustatyti gatvių apšvietimo atnaujinimo prioritetai);</w:t>
      </w:r>
    </w:p>
    <w:p w:rsidR="00E244EB" w:rsidRPr="00473CF3" w:rsidRDefault="00E244EB" w:rsidP="00E244EB">
      <w:pPr>
        <w:pStyle w:val="Pagrindinistekstas"/>
        <w:spacing w:line="240" w:lineRule="auto"/>
        <w:ind w:firstLine="720"/>
        <w:jc w:val="both"/>
        <w:rPr>
          <w:color w:val="000000" w:themeColor="text1"/>
          <w:szCs w:val="24"/>
        </w:rPr>
      </w:pPr>
      <w:r w:rsidRPr="00473CF3">
        <w:rPr>
          <w:color w:val="000000" w:themeColor="text1"/>
          <w:szCs w:val="24"/>
        </w:rPr>
        <w:t>5. Miesto Savivaldybei nebereikėtų vykdyti turto apskaitos (mažėtų turto administravimo kaštai, savivaldybės darbuotojai galėtų skirti daugiau laiko kitoms funkcijoms įgyvendinti);</w:t>
      </w:r>
    </w:p>
    <w:p w:rsidR="00931518" w:rsidRPr="00473CF3" w:rsidRDefault="00E244EB" w:rsidP="00931518">
      <w:pPr>
        <w:pStyle w:val="Pagrindinistekstas"/>
        <w:spacing w:line="240" w:lineRule="auto"/>
        <w:ind w:firstLine="720"/>
        <w:jc w:val="both"/>
        <w:rPr>
          <w:color w:val="000000" w:themeColor="text1"/>
          <w:szCs w:val="24"/>
        </w:rPr>
      </w:pPr>
      <w:r w:rsidRPr="00473CF3">
        <w:rPr>
          <w:color w:val="000000" w:themeColor="text1"/>
          <w:szCs w:val="24"/>
        </w:rPr>
        <w:t xml:space="preserve">6. Investicijos leistų efektyviau planuoti ilgalaikę Bendrovės veiklą, įtraukiant turtą į veiklos organizavimo gaires, padidėtų įmonės finansinis pajėgumas (padidėja įstatinis kapitalas). </w:t>
      </w:r>
    </w:p>
    <w:p w:rsidR="00931518" w:rsidRDefault="00931518" w:rsidP="00931518">
      <w:pPr>
        <w:pStyle w:val="Pagrindinistekstas"/>
        <w:tabs>
          <w:tab w:val="left" w:pos="9639"/>
        </w:tabs>
        <w:spacing w:line="240" w:lineRule="auto"/>
        <w:ind w:firstLine="720"/>
        <w:jc w:val="both"/>
        <w:rPr>
          <w:szCs w:val="24"/>
        </w:rPr>
      </w:pPr>
    </w:p>
    <w:p w:rsidR="00931518" w:rsidRDefault="00931518" w:rsidP="00931518">
      <w:pPr>
        <w:pStyle w:val="Pagrindinistekstas"/>
        <w:tabs>
          <w:tab w:val="left" w:pos="9639"/>
        </w:tabs>
        <w:spacing w:line="240" w:lineRule="auto"/>
        <w:ind w:firstLine="720"/>
        <w:jc w:val="both"/>
        <w:rPr>
          <w:szCs w:val="24"/>
        </w:rPr>
      </w:pPr>
      <w:r w:rsidRPr="00473CF3">
        <w:rPr>
          <w:szCs w:val="24"/>
        </w:rPr>
        <w:t>Sprendimas investuoti ilgalaikį materialųjį turtą tenkin</w:t>
      </w:r>
      <w:r>
        <w:rPr>
          <w:szCs w:val="24"/>
        </w:rPr>
        <w:t>tų</w:t>
      </w:r>
      <w:r w:rsidRPr="00473CF3">
        <w:rPr>
          <w:szCs w:val="24"/>
        </w:rPr>
        <w:t xml:space="preserve"> šiuos Lietuvos Respublikos valstybės ir savivaldybių turto valdymo, naudojimo ir disponavimu juo įstatymo 22 straipsnio 2 dalyje nurodytus investavimo kriterijus:</w:t>
      </w:r>
    </w:p>
    <w:p w:rsidR="00C40470" w:rsidRPr="00955276" w:rsidRDefault="00C40470" w:rsidP="0029248C">
      <w:pPr>
        <w:widowControl w:val="0"/>
        <w:autoSpaceDE w:val="0"/>
        <w:autoSpaceDN w:val="0"/>
        <w:adjustRightInd w:val="0"/>
        <w:ind w:firstLine="720"/>
        <w:jc w:val="both"/>
        <w:rPr>
          <w:sz w:val="24"/>
          <w:szCs w:val="24"/>
          <w:lang w:val="lt-LT"/>
        </w:rPr>
      </w:pPr>
      <w:r w:rsidRPr="00955276">
        <w:rPr>
          <w:sz w:val="24"/>
          <w:szCs w:val="24"/>
        </w:rPr>
        <w:t>1</w:t>
      </w:r>
      <w:r w:rsidRPr="00955276">
        <w:rPr>
          <w:sz w:val="24"/>
          <w:szCs w:val="24"/>
          <w:lang w:val="lt-LT"/>
        </w:rPr>
        <w:t xml:space="preserve">. </w:t>
      </w:r>
      <w:r w:rsidR="003D6B1C">
        <w:rPr>
          <w:sz w:val="24"/>
          <w:szCs w:val="24"/>
          <w:lang w:val="lt-LT"/>
        </w:rPr>
        <w:t>i</w:t>
      </w:r>
      <w:r w:rsidRPr="00955276">
        <w:rPr>
          <w:sz w:val="24"/>
          <w:szCs w:val="24"/>
          <w:lang w:val="lt-LT"/>
        </w:rPr>
        <w:t>nvestavus bus skatinamas Lietuvos ekonomikos augimas, stiprinamas ekonominis savarankiškumas ir (ar) tarptautinis konkurencingumas</w:t>
      </w:r>
      <w:r w:rsidR="0029248C" w:rsidRPr="00955276">
        <w:rPr>
          <w:sz w:val="24"/>
          <w:szCs w:val="24"/>
          <w:lang w:val="lt-LT"/>
        </w:rPr>
        <w:t xml:space="preserve"> – </w:t>
      </w:r>
      <w:r w:rsidRPr="00955276">
        <w:rPr>
          <w:sz w:val="24"/>
          <w:szCs w:val="24"/>
          <w:lang w:val="lt-LT"/>
        </w:rPr>
        <w:t>po turto investavimo pelningai veiksianti bendrovė, mokėdama mokesčius valstybei, prisidės prie bendro vidaus produkto augimo, bus išsaugotos esamos darbo vietos, gali būti sukurtos naujos darbo vietos;</w:t>
      </w:r>
    </w:p>
    <w:p w:rsidR="00931518" w:rsidRPr="00955276" w:rsidRDefault="0029248C" w:rsidP="00931518">
      <w:pPr>
        <w:pStyle w:val="pasiulymai3"/>
        <w:spacing w:before="0" w:beforeAutospacing="0" w:after="0" w:afterAutospacing="0"/>
        <w:ind w:firstLine="720"/>
        <w:jc w:val="both"/>
      </w:pPr>
      <w:r w:rsidRPr="00955276">
        <w:rPr>
          <w:rStyle w:val="fontstyle36"/>
        </w:rPr>
        <w:t>2</w:t>
      </w:r>
      <w:r w:rsidR="00931518" w:rsidRPr="00955276">
        <w:rPr>
          <w:rStyle w:val="fontstyle36"/>
        </w:rPr>
        <w:t>.</w:t>
      </w:r>
      <w:r w:rsidR="00931518" w:rsidRPr="00955276">
        <w:rPr>
          <w:rStyle w:val="fontstyle36"/>
          <w:b/>
          <w:bCs/>
        </w:rPr>
        <w:t xml:space="preserve"> </w:t>
      </w:r>
      <w:r w:rsidR="00931518" w:rsidRPr="00955276">
        <w:rPr>
          <w:rStyle w:val="fontstyle36"/>
        </w:rPr>
        <w:t xml:space="preserve">investavus bus kuriama ar plėtojama infrastruktūra, naudinga visuomenei (skatinama veiksminga konkurencija šalies rinkoje, gerinama viešųjų paslaugų kokybė, pasirinkimo galimybės ir prieinamumas). Bendrovė turės galimybę investuoti savo lėšas ir atnaujinti infrastruktūrą, vykdyti apšvietimo tinklų plėtrą, gerinti teikiamų paslaugų kokybę; </w:t>
      </w:r>
    </w:p>
    <w:p w:rsidR="00931518" w:rsidRPr="00955276" w:rsidRDefault="0029248C" w:rsidP="00931518">
      <w:pPr>
        <w:pStyle w:val="pasiulymai3"/>
        <w:spacing w:before="0" w:beforeAutospacing="0" w:after="0" w:afterAutospacing="0"/>
        <w:ind w:firstLine="720"/>
        <w:jc w:val="both"/>
        <w:rPr>
          <w:rStyle w:val="fontstyle36"/>
        </w:rPr>
      </w:pPr>
      <w:r w:rsidRPr="00955276">
        <w:rPr>
          <w:rStyle w:val="fontstyle36"/>
          <w:bCs/>
        </w:rPr>
        <w:t>3</w:t>
      </w:r>
      <w:r w:rsidR="00931518" w:rsidRPr="00955276">
        <w:rPr>
          <w:rStyle w:val="fontstyle36"/>
          <w:bCs/>
        </w:rPr>
        <w:t>.</w:t>
      </w:r>
      <w:r w:rsidR="00931518" w:rsidRPr="00955276">
        <w:rPr>
          <w:rStyle w:val="fontstyle36"/>
          <w:b/>
          <w:bCs/>
        </w:rPr>
        <w:t xml:space="preserve"> </w:t>
      </w:r>
      <w:r w:rsidR="00931518" w:rsidRPr="00955276">
        <w:rPr>
          <w:rStyle w:val="fontstyle36"/>
        </w:rPr>
        <w:t>iš investavimo objekto bus gauta ne tik pelno (pajamų), bet ir gautas socialinis rezultatas (švietimo, kultūros, mokslo, aplinkos, sveikatos ir socialinės apsaugos, kitų panašių sričių) arba užtikrintas veiksmingesnis Lietuvos Respublikos įstatymuose ir Vyriausybės nutarimuose nustatytų valstybės ir savivaldybės funkcijų atlikimas. Bendrovei atsiras techninės galimybės savarankiškai rengti techninius projektus, atnaujinimo ir plėtros strategijas, vystyti gatvių apšvietimo tinklų renovaciją, kas užtikrins saugos ir kokybės reikalavimus, tiekiant apšvietimo paslaugą miesto gyventojams;</w:t>
      </w:r>
    </w:p>
    <w:p w:rsidR="00931518" w:rsidRPr="00955276" w:rsidRDefault="0029248C" w:rsidP="00931518">
      <w:pPr>
        <w:pStyle w:val="pasiulymai3"/>
        <w:spacing w:before="0" w:beforeAutospacing="0" w:after="0" w:afterAutospacing="0"/>
        <w:ind w:firstLine="720"/>
        <w:jc w:val="both"/>
      </w:pPr>
      <w:r w:rsidRPr="00955276">
        <w:rPr>
          <w:rStyle w:val="fontstyle36"/>
          <w:bCs/>
        </w:rPr>
        <w:t>4</w:t>
      </w:r>
      <w:r w:rsidR="00931518" w:rsidRPr="00955276">
        <w:rPr>
          <w:rStyle w:val="fontstyle36"/>
          <w:bCs/>
        </w:rPr>
        <w:t>.</w:t>
      </w:r>
      <w:r w:rsidR="00931518" w:rsidRPr="00955276">
        <w:rPr>
          <w:rStyle w:val="fontstyle36"/>
          <w:b/>
          <w:bCs/>
        </w:rPr>
        <w:t xml:space="preserve"> </w:t>
      </w:r>
      <w:r w:rsidR="00931518" w:rsidRPr="00955276">
        <w:rPr>
          <w:rStyle w:val="fontstyle36"/>
        </w:rPr>
        <w:t xml:space="preserve">savivaldybės turto investavimu bus sukuriama pridėtinė vertė ir užtikrinamas šią vertę kuriančios veiklos ilgalaikis ekonominis tvarumas. Investicija sudarys galimybę </w:t>
      </w:r>
      <w:r w:rsidR="007E5BD7" w:rsidRPr="00955276">
        <w:rPr>
          <w:rStyle w:val="fontstyle36"/>
        </w:rPr>
        <w:t xml:space="preserve">Bendrovei vykdyti pelningą veiklą, </w:t>
      </w:r>
      <w:r w:rsidR="00931518" w:rsidRPr="00955276">
        <w:rPr>
          <w:rStyle w:val="fontstyle36"/>
        </w:rPr>
        <w:t xml:space="preserve">Klaipėdos miestui turėti modernų ir </w:t>
      </w:r>
      <w:r w:rsidR="003D6B1C">
        <w:rPr>
          <w:rStyle w:val="fontstyle36"/>
        </w:rPr>
        <w:t>šiuolaikišką miesto apšvietimą;</w:t>
      </w:r>
    </w:p>
    <w:p w:rsidR="00931518" w:rsidRPr="00955276" w:rsidRDefault="0029248C" w:rsidP="00931518">
      <w:pPr>
        <w:pStyle w:val="pasiulymai3"/>
        <w:spacing w:before="0" w:beforeAutospacing="0" w:after="0" w:afterAutospacing="0"/>
        <w:ind w:firstLine="720"/>
        <w:jc w:val="both"/>
        <w:rPr>
          <w:rStyle w:val="fontstyle36"/>
        </w:rPr>
      </w:pPr>
      <w:r w:rsidRPr="00955276">
        <w:rPr>
          <w:rStyle w:val="fontstyle36"/>
        </w:rPr>
        <w:t>5</w:t>
      </w:r>
      <w:r w:rsidR="00931518" w:rsidRPr="00955276">
        <w:rPr>
          <w:rStyle w:val="fontstyle36"/>
        </w:rPr>
        <w:t xml:space="preserve">. </w:t>
      </w:r>
      <w:r w:rsidR="00931518" w:rsidRPr="00955276">
        <w:t xml:space="preserve">investavimo tikslas ir siekiamas rezultatas nustatyti teisės aktuose, įgyvendinančiuose strateginio planavimo dokumentus. Savivaldybės turto investavimas sudarys sąlygas operatyviau ir efektyviau įgyvendinti Klaipėdos miesto savivaldybės 2013-2020 m. strateginio plėtros plano, patvirtinto Klaipėdos miesto savivaldybės tarybos 2013 m. balandžio 26 d. sprendimu Nr. T2-79 „Dėl Klaipėdos miesto savivaldybės 2013-2020 strateginio plėtros plano patvirtinimo“ 2.3.2.5 priemonę, kurioje numatytas strateginis siekis – gerinti Klaipėdos miesto viešųjų erdvių apšvietimo efektyvumą ir kokybę. Investavus šį turtą didėtų įrengtų tinklų ilgis, veikiančių šviestuvų skaičius, padidėtų apšvietimo reguliavimo įtaisų kiekis. </w:t>
      </w:r>
    </w:p>
    <w:p w:rsidR="00E244EB" w:rsidRPr="00473CF3" w:rsidRDefault="00E244EB" w:rsidP="00F74EA1">
      <w:pPr>
        <w:ind w:firstLine="720"/>
        <w:jc w:val="both"/>
        <w:rPr>
          <w:sz w:val="24"/>
          <w:szCs w:val="24"/>
          <w:lang w:val="lt-LT"/>
        </w:rPr>
      </w:pPr>
    </w:p>
    <w:p w:rsidR="00747E49" w:rsidRPr="00473CF3" w:rsidRDefault="00B841FB" w:rsidP="00245F47">
      <w:pPr>
        <w:ind w:firstLine="720"/>
        <w:jc w:val="both"/>
        <w:rPr>
          <w:sz w:val="24"/>
          <w:szCs w:val="24"/>
          <w:lang w:val="lt-LT"/>
        </w:rPr>
      </w:pPr>
      <w:r w:rsidRPr="00473CF3">
        <w:rPr>
          <w:sz w:val="24"/>
          <w:szCs w:val="24"/>
          <w:lang w:val="lt-LT"/>
        </w:rPr>
        <w:t>Lietuvos Respublikos valstybės ir savivaldybių turto valdymo, naudojimo ir disponavimo juo įstatymo 23 straipsnis nustato, kad savivaldybių turtinės ir neturtinės teisės akcinėse bendrovėse įgyvendinamos Vyriausybės nustatyta tvarka</w:t>
      </w:r>
      <w:r w:rsidR="008948D8" w:rsidRPr="00473CF3">
        <w:rPr>
          <w:sz w:val="24"/>
          <w:szCs w:val="24"/>
          <w:lang w:val="lt-LT"/>
        </w:rPr>
        <w:t xml:space="preserve">. </w:t>
      </w:r>
      <w:r w:rsidR="006A5BC7" w:rsidRPr="00473CF3">
        <w:rPr>
          <w:sz w:val="24"/>
          <w:szCs w:val="24"/>
          <w:lang w:val="lt-LT"/>
        </w:rPr>
        <w:t>Savivaldybių turtinių ir neturtinių teisių įgyvendinimo akcinėse bendrovėse ir uždarosiose akcinėse bendrovėse taisyklių, patvirtintų Lietuvos Respublikos Vyriausybės 2007 m. birželio 6 d. nutarimu Nr. 567 „Dėl valstybės ir savivaldybių turtinių ir neturtinių teisių įgyvendinimo akcinėse bendrovėse ir uždarosiose akcinėse bendrovėse“</w:t>
      </w:r>
      <w:r w:rsidR="00487434" w:rsidRPr="00473CF3">
        <w:rPr>
          <w:sz w:val="24"/>
          <w:szCs w:val="24"/>
          <w:lang w:val="lt-LT"/>
        </w:rPr>
        <w:t xml:space="preserve"> </w:t>
      </w:r>
      <w:r w:rsidR="006A5BC7" w:rsidRPr="00473CF3">
        <w:rPr>
          <w:sz w:val="24"/>
          <w:szCs w:val="24"/>
          <w:lang w:val="lt-LT"/>
        </w:rPr>
        <w:t>19.1 papunk</w:t>
      </w:r>
      <w:r w:rsidR="00880211" w:rsidRPr="00473CF3">
        <w:rPr>
          <w:sz w:val="24"/>
          <w:szCs w:val="24"/>
          <w:lang w:val="lt-LT"/>
        </w:rPr>
        <w:t>tis</w:t>
      </w:r>
      <w:r w:rsidR="006A5BC7" w:rsidRPr="00473CF3">
        <w:rPr>
          <w:sz w:val="24"/>
          <w:szCs w:val="24"/>
          <w:lang w:val="lt-LT"/>
        </w:rPr>
        <w:t xml:space="preserve"> </w:t>
      </w:r>
      <w:r w:rsidR="00880211" w:rsidRPr="00473CF3">
        <w:rPr>
          <w:sz w:val="24"/>
          <w:szCs w:val="24"/>
          <w:lang w:val="lt-LT"/>
        </w:rPr>
        <w:t>nustato, kad</w:t>
      </w:r>
      <w:r w:rsidR="00880211" w:rsidRPr="00473CF3">
        <w:rPr>
          <w:bCs/>
          <w:sz w:val="24"/>
          <w:szCs w:val="24"/>
          <w:lang w:val="lt-LT"/>
        </w:rPr>
        <w:t xml:space="preserve"> tik vadovaudamasis savivaldybės tarybos sprendimais</w:t>
      </w:r>
      <w:r w:rsidR="00880211" w:rsidRPr="00473CF3">
        <w:rPr>
          <w:b/>
          <w:bCs/>
          <w:sz w:val="24"/>
          <w:szCs w:val="24"/>
          <w:lang w:val="lt-LT"/>
        </w:rPr>
        <w:t xml:space="preserve"> </w:t>
      </w:r>
      <w:r w:rsidR="00880211" w:rsidRPr="00473CF3">
        <w:rPr>
          <w:bCs/>
          <w:sz w:val="24"/>
          <w:szCs w:val="24"/>
          <w:lang w:val="lt-LT"/>
        </w:rPr>
        <w:t>dėl konkrečios bendrovės savivaldybės administracijos direktorius gali suteikti įgaliojimus</w:t>
      </w:r>
      <w:r w:rsidR="00880211" w:rsidRPr="00473CF3">
        <w:rPr>
          <w:sz w:val="24"/>
          <w:szCs w:val="24"/>
          <w:lang w:val="lt-LT"/>
        </w:rPr>
        <w:t xml:space="preserve"> balsuoti už</w:t>
      </w:r>
      <w:r w:rsidR="00985449" w:rsidRPr="00473CF3">
        <w:rPr>
          <w:sz w:val="24"/>
          <w:szCs w:val="24"/>
          <w:lang w:val="lt-LT"/>
        </w:rPr>
        <w:t xml:space="preserve"> (priimti rašytinį sprendimą)</w:t>
      </w:r>
      <w:r w:rsidR="00880211" w:rsidRPr="00473CF3">
        <w:rPr>
          <w:b/>
          <w:sz w:val="24"/>
          <w:szCs w:val="24"/>
          <w:lang w:val="lt-LT"/>
        </w:rPr>
        <w:t xml:space="preserve"> </w:t>
      </w:r>
      <w:r w:rsidR="00880211" w:rsidRPr="00473CF3">
        <w:rPr>
          <w:sz w:val="24"/>
          <w:szCs w:val="24"/>
          <w:lang w:val="lt-LT"/>
        </w:rPr>
        <w:t>bendrovės įstatinio kapitalo didinimą</w:t>
      </w:r>
      <w:r w:rsidR="00880211" w:rsidRPr="00473CF3">
        <w:rPr>
          <w:b/>
          <w:sz w:val="24"/>
          <w:szCs w:val="24"/>
          <w:lang w:val="lt-LT"/>
        </w:rPr>
        <w:t xml:space="preserve"> </w:t>
      </w:r>
      <w:r w:rsidR="00880211" w:rsidRPr="00473CF3">
        <w:rPr>
          <w:sz w:val="24"/>
          <w:szCs w:val="24"/>
          <w:lang w:val="lt-LT"/>
        </w:rPr>
        <w:t>papildomais įnašais, kai savivaldybei nuosavybės teise priklauso akcijos, suteikiančios daugiau kaip 1/2 visų balsų.</w:t>
      </w:r>
      <w:r w:rsidR="00A55234" w:rsidRPr="00473CF3">
        <w:rPr>
          <w:sz w:val="24"/>
          <w:szCs w:val="24"/>
          <w:lang w:val="lt-LT"/>
        </w:rPr>
        <w:t xml:space="preserve"> </w:t>
      </w:r>
    </w:p>
    <w:p w:rsidR="00571C80" w:rsidRPr="00473CF3" w:rsidRDefault="00EB5E27" w:rsidP="00AD2E7C">
      <w:pPr>
        <w:ind w:firstLine="709"/>
        <w:jc w:val="both"/>
        <w:rPr>
          <w:sz w:val="22"/>
          <w:szCs w:val="22"/>
          <w:lang w:val="lt-LT"/>
        </w:rPr>
      </w:pPr>
      <w:r w:rsidRPr="00473CF3">
        <w:rPr>
          <w:sz w:val="24"/>
          <w:szCs w:val="24"/>
          <w:lang w:val="lt-LT"/>
        </w:rPr>
        <w:t>Vadovaujantis Lietuvos Respublikos akcinių bendrovių įstatymo 49</w:t>
      </w:r>
      <w:r w:rsidR="001A1397" w:rsidRPr="00473CF3">
        <w:rPr>
          <w:sz w:val="24"/>
          <w:szCs w:val="24"/>
          <w:lang w:val="lt-LT"/>
        </w:rPr>
        <w:t xml:space="preserve"> straipsnio 2 dalimi ir 50 strai</w:t>
      </w:r>
      <w:r w:rsidRPr="00473CF3">
        <w:rPr>
          <w:sz w:val="24"/>
          <w:szCs w:val="24"/>
          <w:lang w:val="lt-LT"/>
        </w:rPr>
        <w:t xml:space="preserve">psnio 1 dalimi, bendrovės įstatinis kapitalas papildomais akcininkų įnašais didinamas tik išleidžiant naujas akcijas. </w:t>
      </w:r>
      <w:r w:rsidR="005C6285" w:rsidRPr="00473CF3">
        <w:rPr>
          <w:sz w:val="24"/>
          <w:szCs w:val="24"/>
          <w:lang w:val="lt-LT"/>
        </w:rPr>
        <w:t xml:space="preserve">Įstatymo 45 straipsnio </w:t>
      </w:r>
      <w:r w:rsidR="00390F5F" w:rsidRPr="00473CF3">
        <w:rPr>
          <w:sz w:val="24"/>
          <w:szCs w:val="24"/>
          <w:lang w:val="lt-LT"/>
        </w:rPr>
        <w:t>2 dalis reglamentuoja, kad akcijos emisijos kaina turi būti ne mažesnė už jos nominalią vertę.</w:t>
      </w:r>
      <w:r w:rsidR="00390F5F" w:rsidRPr="00473CF3">
        <w:rPr>
          <w:sz w:val="22"/>
          <w:szCs w:val="22"/>
          <w:lang w:val="lt-LT"/>
        </w:rPr>
        <w:t xml:space="preserve"> </w:t>
      </w:r>
    </w:p>
    <w:p w:rsidR="00C42D16" w:rsidRPr="003D6B1C" w:rsidRDefault="00DC1AA7" w:rsidP="003D6B1C">
      <w:pPr>
        <w:pStyle w:val="Pagrindinistekstas"/>
        <w:tabs>
          <w:tab w:val="left" w:pos="9639"/>
        </w:tabs>
        <w:spacing w:line="240" w:lineRule="auto"/>
        <w:ind w:firstLine="720"/>
        <w:jc w:val="both"/>
      </w:pPr>
      <w:r>
        <w:rPr>
          <w:szCs w:val="24"/>
        </w:rPr>
        <w:t>Atsižvelgiant į</w:t>
      </w:r>
      <w:r w:rsidR="00F97343" w:rsidRPr="00473CF3">
        <w:rPr>
          <w:szCs w:val="24"/>
        </w:rPr>
        <w:t xml:space="preserve"> aukščiau </w:t>
      </w:r>
      <w:r>
        <w:rPr>
          <w:szCs w:val="24"/>
        </w:rPr>
        <w:t>išdėstytą, įgyvendinant</w:t>
      </w:r>
      <w:r w:rsidR="00E94A14" w:rsidRPr="00473CF3">
        <w:rPr>
          <w:szCs w:val="24"/>
        </w:rPr>
        <w:t xml:space="preserve"> </w:t>
      </w:r>
      <w:r w:rsidR="00D01D35" w:rsidRPr="00473CF3">
        <w:rPr>
          <w:szCs w:val="24"/>
        </w:rPr>
        <w:t xml:space="preserve">teisės aktų </w:t>
      </w:r>
      <w:r>
        <w:rPr>
          <w:szCs w:val="24"/>
        </w:rPr>
        <w:t xml:space="preserve">nuostatas </w:t>
      </w:r>
      <w:r w:rsidR="00F97343" w:rsidRPr="00473CF3">
        <w:rPr>
          <w:szCs w:val="24"/>
        </w:rPr>
        <w:t xml:space="preserve">pažymint, kad pagal </w:t>
      </w:r>
      <w:r w:rsidR="003D6942" w:rsidRPr="00473CF3">
        <w:rPr>
          <w:szCs w:val="24"/>
        </w:rPr>
        <w:t>Lietuvos Respublikos vietos savivaldos įstatymo 16 straipsnio 3 dalies 9</w:t>
      </w:r>
      <w:r w:rsidR="00E94A14" w:rsidRPr="00473CF3">
        <w:rPr>
          <w:szCs w:val="24"/>
        </w:rPr>
        <w:t xml:space="preserve"> punktą</w:t>
      </w:r>
      <w:r w:rsidR="0087771F" w:rsidRPr="00473CF3">
        <w:rPr>
          <w:szCs w:val="24"/>
        </w:rPr>
        <w:t xml:space="preserve"> </w:t>
      </w:r>
      <w:r w:rsidR="003D6942" w:rsidRPr="00473CF3">
        <w:rPr>
          <w:szCs w:val="24"/>
        </w:rPr>
        <w:t>įstatinio kapitalo didinimas priskirtinas prie paprastosios savivaldybės ta</w:t>
      </w:r>
      <w:r w:rsidR="003D6B1C">
        <w:rPr>
          <w:szCs w:val="24"/>
        </w:rPr>
        <w:t xml:space="preserve">rybos kompetencijos įgaliojimų, bei vadovaujantis </w:t>
      </w:r>
      <w:r w:rsidR="003D6B1C" w:rsidRPr="00473CF3">
        <w:t xml:space="preserve">Sprendimo investuoti valstybės ir savivaldybių turtą priėmimo tvarkos aprašo, </w:t>
      </w:r>
      <w:r w:rsidR="003D6B1C" w:rsidRPr="00473CF3">
        <w:lastRenderedPageBreak/>
        <w:t>patvirtinto Lietuvos Respublikos 2007 m. liepos 4 d. nutarimo Nr. 758 „Dėl sprendimo investuoti valstybės ir savivaldybių turtą priėmimo tvarkos aprašo patvirtinimo“ 7 punkt</w:t>
      </w:r>
      <w:r w:rsidR="003D6B1C">
        <w:t>u, kuris</w:t>
      </w:r>
      <w:r w:rsidR="003D6B1C" w:rsidRPr="00473CF3">
        <w:t xml:space="preserve"> įtvirtina, kad pasiūlymus Savivaldybės tarybai dėl sprendimo investuoti savivaldybės turtą priėmimo teikia savi</w:t>
      </w:r>
      <w:r w:rsidR="003D6B1C">
        <w:t xml:space="preserve">valdybės vykdomoji institucija, </w:t>
      </w:r>
      <w:r w:rsidR="00AD2E7C" w:rsidRPr="00473CF3">
        <w:rPr>
          <w:szCs w:val="24"/>
        </w:rPr>
        <w:t>siūloma</w:t>
      </w:r>
      <w:r w:rsidR="00C42D16" w:rsidRPr="00473CF3">
        <w:rPr>
          <w:szCs w:val="24"/>
        </w:rPr>
        <w:t xml:space="preserve"> priimti sprendimą dėl </w:t>
      </w:r>
      <w:r w:rsidR="009070E9" w:rsidRPr="00473CF3">
        <w:rPr>
          <w:szCs w:val="24"/>
        </w:rPr>
        <w:t>Sav</w:t>
      </w:r>
      <w:r w:rsidR="00C42D16" w:rsidRPr="00473CF3">
        <w:rPr>
          <w:szCs w:val="24"/>
        </w:rPr>
        <w:t>ivaldybei</w:t>
      </w:r>
      <w:r w:rsidR="009070E9" w:rsidRPr="00473CF3">
        <w:rPr>
          <w:szCs w:val="24"/>
        </w:rPr>
        <w:t xml:space="preserve"> nuosavybės teise priklausan</w:t>
      </w:r>
      <w:r w:rsidR="00C42D16" w:rsidRPr="00473CF3">
        <w:rPr>
          <w:szCs w:val="24"/>
        </w:rPr>
        <w:t>čio</w:t>
      </w:r>
      <w:r w:rsidR="009070E9" w:rsidRPr="00473CF3">
        <w:rPr>
          <w:szCs w:val="24"/>
        </w:rPr>
        <w:t xml:space="preserve"> </w:t>
      </w:r>
      <w:r w:rsidR="00C42D16" w:rsidRPr="00473CF3">
        <w:rPr>
          <w:szCs w:val="24"/>
        </w:rPr>
        <w:t xml:space="preserve">ilgalaikio materialiojo </w:t>
      </w:r>
      <w:r w:rsidR="009070E9" w:rsidRPr="00473CF3">
        <w:rPr>
          <w:szCs w:val="24"/>
        </w:rPr>
        <w:t>turt</w:t>
      </w:r>
      <w:r w:rsidR="00C42D16" w:rsidRPr="00473CF3">
        <w:rPr>
          <w:szCs w:val="24"/>
        </w:rPr>
        <w:t>o,</w:t>
      </w:r>
      <w:r w:rsidR="009070E9" w:rsidRPr="00473CF3">
        <w:rPr>
          <w:szCs w:val="24"/>
        </w:rPr>
        <w:t xml:space="preserve"> </w:t>
      </w:r>
      <w:r w:rsidR="00C42D16" w:rsidRPr="00473CF3">
        <w:rPr>
          <w:szCs w:val="24"/>
        </w:rPr>
        <w:t xml:space="preserve">nurodyto sprendimo priede, </w:t>
      </w:r>
      <w:r w:rsidR="00111199" w:rsidRPr="00473CF3">
        <w:rPr>
          <w:szCs w:val="24"/>
        </w:rPr>
        <w:t xml:space="preserve">kurio rinkos vertė 5 389 887,27 </w:t>
      </w:r>
      <w:proofErr w:type="spellStart"/>
      <w:r w:rsidR="00111199" w:rsidRPr="00473CF3">
        <w:rPr>
          <w:szCs w:val="24"/>
        </w:rPr>
        <w:t>Eur</w:t>
      </w:r>
      <w:proofErr w:type="spellEnd"/>
      <w:r w:rsidR="00111199" w:rsidRPr="00473CF3">
        <w:rPr>
          <w:szCs w:val="24"/>
        </w:rPr>
        <w:t xml:space="preserve">, </w:t>
      </w:r>
      <w:r w:rsidR="00C42D16" w:rsidRPr="00473CF3">
        <w:rPr>
          <w:szCs w:val="24"/>
        </w:rPr>
        <w:t>perdavimo, kaip savivaldybės turtinį įnašą, uždarajai akcinei bendrovei „Gatvių apšvietimas“, didinant šios Bendrovės įstatinį kapitalą. Šiuo nepiniginiu įnašu numatant</w:t>
      </w:r>
      <w:r w:rsidR="00DF4127" w:rsidRPr="00473CF3">
        <w:rPr>
          <w:szCs w:val="24"/>
        </w:rPr>
        <w:t xml:space="preserve"> įsigyti ir apmokėti </w:t>
      </w:r>
      <w:r w:rsidR="003204EF" w:rsidRPr="00473CF3">
        <w:rPr>
          <w:szCs w:val="24"/>
        </w:rPr>
        <w:t xml:space="preserve">Bendrovės </w:t>
      </w:r>
      <w:r w:rsidR="00C42D16" w:rsidRPr="00473CF3">
        <w:rPr>
          <w:szCs w:val="24"/>
        </w:rPr>
        <w:t>išleidžiam</w:t>
      </w:r>
      <w:r w:rsidR="00DF4127" w:rsidRPr="00473CF3">
        <w:rPr>
          <w:szCs w:val="24"/>
        </w:rPr>
        <w:t>as</w:t>
      </w:r>
      <w:r w:rsidR="00C42D16" w:rsidRPr="00473CF3">
        <w:rPr>
          <w:szCs w:val="24"/>
        </w:rPr>
        <w:t xml:space="preserve"> 0,29 </w:t>
      </w:r>
      <w:proofErr w:type="spellStart"/>
      <w:r w:rsidR="00C42D16" w:rsidRPr="00473CF3">
        <w:rPr>
          <w:szCs w:val="24"/>
        </w:rPr>
        <w:t>Eur</w:t>
      </w:r>
      <w:proofErr w:type="spellEnd"/>
      <w:r w:rsidR="00C42D16" w:rsidRPr="00473CF3">
        <w:rPr>
          <w:szCs w:val="24"/>
        </w:rPr>
        <w:t xml:space="preserve"> nominalios vertės 18 585 818 vienet</w:t>
      </w:r>
      <w:r w:rsidR="00DF4127" w:rsidRPr="00473CF3">
        <w:rPr>
          <w:szCs w:val="24"/>
        </w:rPr>
        <w:t>us</w:t>
      </w:r>
      <w:r w:rsidR="00C42D16" w:rsidRPr="00473CF3">
        <w:rPr>
          <w:color w:val="000000"/>
          <w:spacing w:val="-3"/>
          <w:szCs w:val="24"/>
        </w:rPr>
        <w:t xml:space="preserve"> paprast</w:t>
      </w:r>
      <w:r w:rsidR="00DF4127" w:rsidRPr="00473CF3">
        <w:rPr>
          <w:color w:val="000000"/>
          <w:spacing w:val="-3"/>
          <w:szCs w:val="24"/>
        </w:rPr>
        <w:t>ąsias</w:t>
      </w:r>
      <w:r w:rsidR="00C42D16" w:rsidRPr="00473CF3">
        <w:rPr>
          <w:color w:val="000000"/>
          <w:spacing w:val="-3"/>
          <w:szCs w:val="24"/>
        </w:rPr>
        <w:t xml:space="preserve"> vardin</w:t>
      </w:r>
      <w:r w:rsidR="00DF4127" w:rsidRPr="00473CF3">
        <w:rPr>
          <w:color w:val="000000"/>
          <w:spacing w:val="-3"/>
          <w:szCs w:val="24"/>
        </w:rPr>
        <w:t>es</w:t>
      </w:r>
      <w:r w:rsidR="00C42D16" w:rsidRPr="00473CF3">
        <w:rPr>
          <w:color w:val="000000"/>
          <w:spacing w:val="-3"/>
          <w:szCs w:val="24"/>
        </w:rPr>
        <w:t xml:space="preserve"> akcij</w:t>
      </w:r>
      <w:r w:rsidR="00DF4127" w:rsidRPr="00473CF3">
        <w:rPr>
          <w:color w:val="000000"/>
          <w:spacing w:val="-3"/>
          <w:szCs w:val="24"/>
        </w:rPr>
        <w:t>as</w:t>
      </w:r>
      <w:r w:rsidR="00C42D16" w:rsidRPr="00473CF3">
        <w:rPr>
          <w:szCs w:val="24"/>
        </w:rPr>
        <w:t>, nustatant, kad akcijų emisijos kaina lygi jų nominaliai vertei</w:t>
      </w:r>
      <w:r w:rsidR="00C42D16" w:rsidRPr="00473CF3">
        <w:rPr>
          <w:color w:val="000000"/>
          <w:spacing w:val="-3"/>
          <w:szCs w:val="24"/>
        </w:rPr>
        <w:t xml:space="preserve">. </w:t>
      </w:r>
    </w:p>
    <w:p w:rsidR="00402012" w:rsidRPr="00473CF3" w:rsidRDefault="008A7582" w:rsidP="00A44D8A">
      <w:pPr>
        <w:ind w:firstLine="709"/>
        <w:jc w:val="both"/>
        <w:rPr>
          <w:sz w:val="24"/>
          <w:szCs w:val="24"/>
          <w:lang w:val="lt-LT"/>
        </w:rPr>
      </w:pPr>
      <w:r w:rsidRPr="00473CF3">
        <w:rPr>
          <w:b/>
          <w:sz w:val="24"/>
          <w:szCs w:val="24"/>
          <w:lang w:val="lt-LT"/>
        </w:rPr>
        <w:t xml:space="preserve">3. </w:t>
      </w:r>
      <w:r w:rsidR="007846C2" w:rsidRPr="00473CF3">
        <w:rPr>
          <w:b/>
          <w:sz w:val="24"/>
          <w:szCs w:val="24"/>
          <w:lang w:val="lt-LT"/>
        </w:rPr>
        <w:t>Kokių rezultatų laukiama.</w:t>
      </w:r>
      <w:r w:rsidR="007846C2" w:rsidRPr="00473CF3">
        <w:rPr>
          <w:sz w:val="24"/>
          <w:szCs w:val="24"/>
          <w:lang w:val="lt-LT"/>
        </w:rPr>
        <w:t xml:space="preserve"> </w:t>
      </w:r>
    </w:p>
    <w:p w:rsidR="002A2965" w:rsidRPr="00473CF3" w:rsidRDefault="002A2965" w:rsidP="00874DCA">
      <w:pPr>
        <w:pStyle w:val="Pagrindinistekstas"/>
        <w:tabs>
          <w:tab w:val="left" w:pos="9639"/>
        </w:tabs>
        <w:spacing w:line="240" w:lineRule="auto"/>
        <w:ind w:firstLine="720"/>
        <w:jc w:val="both"/>
        <w:rPr>
          <w:szCs w:val="24"/>
        </w:rPr>
      </w:pPr>
      <w:r w:rsidRPr="00473CF3">
        <w:rPr>
          <w:szCs w:val="24"/>
        </w:rPr>
        <w:t xml:space="preserve">Bus investuotas Savivaldybės </w:t>
      </w:r>
      <w:r w:rsidR="00D03C65" w:rsidRPr="00473CF3">
        <w:rPr>
          <w:szCs w:val="24"/>
        </w:rPr>
        <w:t>ilgalaikis materialus</w:t>
      </w:r>
      <w:r w:rsidRPr="00473CF3">
        <w:rPr>
          <w:szCs w:val="24"/>
        </w:rPr>
        <w:t xml:space="preserve"> turtas ir padidintas </w:t>
      </w:r>
      <w:r w:rsidR="00D03C65" w:rsidRPr="00473CF3">
        <w:rPr>
          <w:szCs w:val="24"/>
        </w:rPr>
        <w:t>uždarosios akcinės bendrovės</w:t>
      </w:r>
      <w:r w:rsidRPr="00473CF3">
        <w:rPr>
          <w:szCs w:val="24"/>
        </w:rPr>
        <w:t xml:space="preserve"> „Gatvių a</w:t>
      </w:r>
      <w:r w:rsidR="00D03C65" w:rsidRPr="00473CF3">
        <w:rPr>
          <w:szCs w:val="24"/>
        </w:rPr>
        <w:t>pšvietimas“ įstatinis kapitalas.</w:t>
      </w:r>
    </w:p>
    <w:p w:rsidR="00DA01AF" w:rsidRPr="00473CF3" w:rsidRDefault="00DA01AF" w:rsidP="00DA01AF">
      <w:pPr>
        <w:pStyle w:val="Pagrindinistekstas"/>
        <w:tabs>
          <w:tab w:val="left" w:pos="9639"/>
        </w:tabs>
        <w:spacing w:line="240" w:lineRule="auto"/>
        <w:ind w:firstLine="720"/>
        <w:rPr>
          <w:szCs w:val="24"/>
        </w:rPr>
      </w:pPr>
      <w:r w:rsidRPr="00473CF3">
        <w:rPr>
          <w:b/>
          <w:szCs w:val="24"/>
        </w:rPr>
        <w:t>4. Sprendimo projekto rengimo metu gauti specialistų vertinimai.</w:t>
      </w:r>
    </w:p>
    <w:p w:rsidR="007846C2" w:rsidRPr="00473CF3" w:rsidRDefault="007846C2" w:rsidP="00DA01AF">
      <w:pPr>
        <w:pStyle w:val="Pagrindinistekstas"/>
        <w:tabs>
          <w:tab w:val="left" w:pos="9639"/>
        </w:tabs>
        <w:spacing w:line="240" w:lineRule="auto"/>
        <w:ind w:left="720" w:firstLine="0"/>
        <w:jc w:val="both"/>
        <w:rPr>
          <w:szCs w:val="24"/>
        </w:rPr>
      </w:pPr>
      <w:r w:rsidRPr="00473CF3">
        <w:rPr>
          <w:szCs w:val="24"/>
        </w:rPr>
        <w:t>Negauta.</w:t>
      </w:r>
    </w:p>
    <w:p w:rsidR="00F15FAE" w:rsidRPr="00473CF3" w:rsidRDefault="008A7582" w:rsidP="00CF52FB">
      <w:pPr>
        <w:pStyle w:val="Pagrindinistekstas"/>
        <w:tabs>
          <w:tab w:val="left" w:pos="9639"/>
        </w:tabs>
        <w:spacing w:line="240" w:lineRule="auto"/>
        <w:ind w:firstLine="720"/>
        <w:jc w:val="both"/>
        <w:rPr>
          <w:szCs w:val="24"/>
        </w:rPr>
      </w:pPr>
      <w:r w:rsidRPr="00473CF3">
        <w:rPr>
          <w:b/>
          <w:szCs w:val="24"/>
        </w:rPr>
        <w:t xml:space="preserve">5. </w:t>
      </w:r>
      <w:r w:rsidR="007846C2" w:rsidRPr="00473CF3">
        <w:rPr>
          <w:b/>
          <w:szCs w:val="24"/>
        </w:rPr>
        <w:t>Išlaidų sąmatos, skaičiavimai, reikalingi pagrindimai ir paaiškinimai.</w:t>
      </w:r>
      <w:r w:rsidR="007846C2" w:rsidRPr="00473CF3">
        <w:rPr>
          <w:szCs w:val="24"/>
        </w:rPr>
        <w:t xml:space="preserve"> </w:t>
      </w:r>
    </w:p>
    <w:p w:rsidR="007C15E5" w:rsidRPr="00473CF3" w:rsidRDefault="005F522D" w:rsidP="00914E83">
      <w:pPr>
        <w:ind w:firstLine="720"/>
        <w:jc w:val="both"/>
        <w:rPr>
          <w:rFonts w:ascii="Calibri" w:hAnsi="Calibri" w:cs="Calibri"/>
          <w:color w:val="000000"/>
          <w:sz w:val="22"/>
          <w:szCs w:val="22"/>
          <w:lang w:val="lt-LT"/>
        </w:rPr>
      </w:pPr>
      <w:r w:rsidRPr="00473CF3">
        <w:rPr>
          <w:sz w:val="24"/>
          <w:szCs w:val="24"/>
          <w:lang w:val="lt-LT"/>
        </w:rPr>
        <w:t xml:space="preserve">Šiuo metu </w:t>
      </w:r>
      <w:r w:rsidR="00914E83" w:rsidRPr="00473CF3">
        <w:rPr>
          <w:sz w:val="24"/>
          <w:szCs w:val="24"/>
          <w:lang w:val="lt-LT"/>
        </w:rPr>
        <w:t>U</w:t>
      </w:r>
      <w:r w:rsidR="00173643" w:rsidRPr="00473CF3">
        <w:rPr>
          <w:sz w:val="24"/>
          <w:szCs w:val="24"/>
          <w:lang w:val="lt-LT"/>
        </w:rPr>
        <w:t>AB „</w:t>
      </w:r>
      <w:r w:rsidR="00DD304B" w:rsidRPr="00473CF3">
        <w:rPr>
          <w:sz w:val="24"/>
          <w:szCs w:val="24"/>
          <w:lang w:val="lt-LT"/>
        </w:rPr>
        <w:t>Gatvių apšvietimas</w:t>
      </w:r>
      <w:r w:rsidR="00173643" w:rsidRPr="00473CF3">
        <w:rPr>
          <w:sz w:val="24"/>
          <w:szCs w:val="24"/>
          <w:lang w:val="lt-LT"/>
        </w:rPr>
        <w:t>“  įstatini</w:t>
      </w:r>
      <w:r w:rsidR="00420CB6" w:rsidRPr="00473CF3">
        <w:rPr>
          <w:sz w:val="24"/>
          <w:szCs w:val="24"/>
          <w:lang w:val="lt-LT"/>
        </w:rPr>
        <w:t xml:space="preserve">o kapitalo dydis </w:t>
      </w:r>
      <w:r w:rsidR="00C45D12" w:rsidRPr="00473CF3">
        <w:rPr>
          <w:color w:val="000000"/>
          <w:sz w:val="24"/>
          <w:szCs w:val="24"/>
          <w:lang w:val="lt-LT"/>
        </w:rPr>
        <w:t>731 375,94</w:t>
      </w:r>
      <w:r w:rsidR="00C45D12" w:rsidRPr="00473CF3">
        <w:rPr>
          <w:rFonts w:ascii="Calibri" w:hAnsi="Calibri" w:cs="Calibri"/>
          <w:color w:val="000000"/>
          <w:sz w:val="22"/>
          <w:szCs w:val="22"/>
          <w:lang w:val="lt-LT"/>
        </w:rPr>
        <w:t xml:space="preserve"> </w:t>
      </w:r>
      <w:proofErr w:type="spellStart"/>
      <w:r w:rsidR="00420CB6" w:rsidRPr="00473CF3">
        <w:rPr>
          <w:sz w:val="24"/>
          <w:szCs w:val="24"/>
          <w:lang w:val="lt-LT"/>
        </w:rPr>
        <w:t>Eur</w:t>
      </w:r>
      <w:proofErr w:type="spellEnd"/>
      <w:r w:rsidR="00173643" w:rsidRPr="00473CF3">
        <w:rPr>
          <w:b/>
          <w:sz w:val="24"/>
          <w:szCs w:val="24"/>
          <w:lang w:val="lt-LT"/>
        </w:rPr>
        <w:t>,</w:t>
      </w:r>
      <w:r w:rsidR="00C63FE8" w:rsidRPr="00473CF3">
        <w:rPr>
          <w:sz w:val="24"/>
          <w:szCs w:val="24"/>
          <w:lang w:val="lt-LT"/>
        </w:rPr>
        <w:t xml:space="preserve"> </w:t>
      </w:r>
      <w:r w:rsidRPr="00473CF3">
        <w:rPr>
          <w:sz w:val="24"/>
          <w:szCs w:val="24"/>
          <w:lang w:val="lt-LT"/>
        </w:rPr>
        <w:t xml:space="preserve">po padidinimo, bendrovės įstatinis kapitalas sudarytų </w:t>
      </w:r>
      <w:r w:rsidR="00C45D12" w:rsidRPr="00473CF3">
        <w:rPr>
          <w:sz w:val="24"/>
          <w:szCs w:val="24"/>
          <w:lang w:val="lt-LT"/>
        </w:rPr>
        <w:t xml:space="preserve">6 121 263,21 </w:t>
      </w:r>
      <w:proofErr w:type="spellStart"/>
      <w:r w:rsidRPr="00473CF3">
        <w:rPr>
          <w:sz w:val="24"/>
          <w:szCs w:val="24"/>
          <w:lang w:val="lt-LT"/>
        </w:rPr>
        <w:t>Eur</w:t>
      </w:r>
      <w:proofErr w:type="spellEnd"/>
      <w:r w:rsidRPr="00473CF3">
        <w:rPr>
          <w:sz w:val="24"/>
          <w:szCs w:val="24"/>
          <w:lang w:val="lt-LT"/>
        </w:rPr>
        <w:t xml:space="preserve">. </w:t>
      </w:r>
      <w:r w:rsidR="001A7B9F" w:rsidRPr="00473CF3">
        <w:rPr>
          <w:sz w:val="24"/>
          <w:szCs w:val="24"/>
          <w:lang w:val="lt-LT"/>
        </w:rPr>
        <w:t xml:space="preserve">Pokyčiai </w:t>
      </w:r>
      <w:r w:rsidR="00060056" w:rsidRPr="00473CF3">
        <w:rPr>
          <w:sz w:val="24"/>
          <w:szCs w:val="24"/>
          <w:lang w:val="lt-LT"/>
        </w:rPr>
        <w:t>vienintelio</w:t>
      </w:r>
      <w:r w:rsidR="001A7B9F" w:rsidRPr="00473CF3">
        <w:rPr>
          <w:sz w:val="24"/>
          <w:szCs w:val="24"/>
          <w:lang w:val="lt-LT"/>
        </w:rPr>
        <w:t xml:space="preserve"> </w:t>
      </w:r>
      <w:r w:rsidR="00060056" w:rsidRPr="00473CF3">
        <w:rPr>
          <w:sz w:val="24"/>
          <w:szCs w:val="24"/>
          <w:lang w:val="lt-LT"/>
        </w:rPr>
        <w:t>akcininko</w:t>
      </w:r>
      <w:r w:rsidR="001A7B9F" w:rsidRPr="00473CF3">
        <w:rPr>
          <w:sz w:val="24"/>
          <w:szCs w:val="24"/>
          <w:lang w:val="lt-LT"/>
        </w:rPr>
        <w:t xml:space="preserve"> atžvilgiu nurodyti lentelėje: </w:t>
      </w:r>
    </w:p>
    <w:tbl>
      <w:tblPr>
        <w:tblStyle w:val="Lentelstinklelis"/>
        <w:tblW w:w="0" w:type="auto"/>
        <w:tblLook w:val="01E0" w:firstRow="1" w:lastRow="1" w:firstColumn="1" w:lastColumn="1" w:noHBand="0" w:noVBand="0"/>
      </w:tblPr>
      <w:tblGrid>
        <w:gridCol w:w="556"/>
        <w:gridCol w:w="1991"/>
        <w:gridCol w:w="1843"/>
        <w:gridCol w:w="1701"/>
        <w:gridCol w:w="1984"/>
        <w:gridCol w:w="1553"/>
      </w:tblGrid>
      <w:tr w:rsidR="00173643" w:rsidRPr="00473CF3" w:rsidTr="00C5739F">
        <w:trPr>
          <w:trHeight w:val="821"/>
        </w:trPr>
        <w:tc>
          <w:tcPr>
            <w:tcW w:w="556" w:type="dxa"/>
          </w:tcPr>
          <w:p w:rsidR="00173643" w:rsidRPr="00473CF3" w:rsidRDefault="00173643" w:rsidP="00BC5E06">
            <w:pPr>
              <w:rPr>
                <w:lang w:val="lt-LT"/>
              </w:rPr>
            </w:pPr>
            <w:r w:rsidRPr="00473CF3">
              <w:rPr>
                <w:lang w:val="lt-LT"/>
              </w:rPr>
              <w:t>Eil. Nr.</w:t>
            </w:r>
          </w:p>
        </w:tc>
        <w:tc>
          <w:tcPr>
            <w:tcW w:w="1991" w:type="dxa"/>
          </w:tcPr>
          <w:p w:rsidR="00173643" w:rsidRPr="00473CF3" w:rsidRDefault="00173643" w:rsidP="00BC5E06">
            <w:pPr>
              <w:jc w:val="center"/>
              <w:rPr>
                <w:lang w:val="lt-LT"/>
              </w:rPr>
            </w:pPr>
            <w:r w:rsidRPr="00473CF3">
              <w:rPr>
                <w:lang w:val="lt-LT"/>
              </w:rPr>
              <w:t>Akcininkas</w:t>
            </w:r>
          </w:p>
        </w:tc>
        <w:tc>
          <w:tcPr>
            <w:tcW w:w="1843" w:type="dxa"/>
          </w:tcPr>
          <w:p w:rsidR="00173643" w:rsidRPr="00473CF3" w:rsidRDefault="00173643" w:rsidP="00BC5E06">
            <w:pPr>
              <w:jc w:val="center"/>
              <w:rPr>
                <w:lang w:val="lt-LT"/>
              </w:rPr>
            </w:pPr>
            <w:r w:rsidRPr="00473CF3">
              <w:rPr>
                <w:lang w:val="lt-LT"/>
              </w:rPr>
              <w:t>Akcijų skaičius vnt. prieš kapitalo padidinimą</w:t>
            </w:r>
          </w:p>
        </w:tc>
        <w:tc>
          <w:tcPr>
            <w:tcW w:w="1701" w:type="dxa"/>
          </w:tcPr>
          <w:p w:rsidR="00173643" w:rsidRPr="00473CF3" w:rsidRDefault="00173643" w:rsidP="00BC5E06">
            <w:pPr>
              <w:jc w:val="center"/>
              <w:rPr>
                <w:lang w:val="lt-LT"/>
              </w:rPr>
            </w:pPr>
            <w:r w:rsidRPr="00473CF3">
              <w:rPr>
                <w:lang w:val="lt-LT"/>
              </w:rPr>
              <w:t>Akcijų dalis proc. prieš kapitalo padidinimą</w:t>
            </w:r>
          </w:p>
        </w:tc>
        <w:tc>
          <w:tcPr>
            <w:tcW w:w="1984" w:type="dxa"/>
          </w:tcPr>
          <w:p w:rsidR="00173643" w:rsidRPr="00473CF3" w:rsidRDefault="00173643" w:rsidP="00107917">
            <w:pPr>
              <w:jc w:val="center"/>
              <w:rPr>
                <w:lang w:val="lt-LT"/>
              </w:rPr>
            </w:pPr>
            <w:r w:rsidRPr="00473CF3">
              <w:rPr>
                <w:lang w:val="lt-LT"/>
              </w:rPr>
              <w:t>Akcijų skaičius vnt. po kapitalo padidinimo</w:t>
            </w:r>
            <w:r w:rsidR="002B3EA3" w:rsidRPr="00473CF3">
              <w:rPr>
                <w:lang w:val="lt-LT"/>
              </w:rPr>
              <w:t xml:space="preserve"> </w:t>
            </w:r>
            <w:r w:rsidR="00AC384E" w:rsidRPr="00473CF3">
              <w:rPr>
                <w:lang w:val="lt-LT"/>
              </w:rPr>
              <w:br/>
            </w:r>
            <w:r w:rsidR="00107917" w:rsidRPr="00473CF3">
              <w:rPr>
                <w:lang w:val="lt-LT"/>
              </w:rPr>
              <w:t>18 585 818</w:t>
            </w:r>
            <w:r w:rsidR="002B3EA3" w:rsidRPr="00473CF3">
              <w:rPr>
                <w:lang w:val="lt-LT"/>
              </w:rPr>
              <w:t xml:space="preserve"> vnt. akcijų</w:t>
            </w:r>
          </w:p>
        </w:tc>
        <w:tc>
          <w:tcPr>
            <w:tcW w:w="1553" w:type="dxa"/>
          </w:tcPr>
          <w:p w:rsidR="00173643" w:rsidRPr="00473CF3" w:rsidRDefault="00173643" w:rsidP="00BC5E06">
            <w:pPr>
              <w:jc w:val="center"/>
              <w:rPr>
                <w:lang w:val="lt-LT"/>
              </w:rPr>
            </w:pPr>
            <w:r w:rsidRPr="00473CF3">
              <w:rPr>
                <w:lang w:val="lt-LT"/>
              </w:rPr>
              <w:t>Akcijų dalis proc. po kapitalo padidinimo</w:t>
            </w:r>
          </w:p>
        </w:tc>
      </w:tr>
      <w:tr w:rsidR="00173643" w:rsidRPr="00473CF3" w:rsidTr="00C5739F">
        <w:trPr>
          <w:trHeight w:val="309"/>
        </w:trPr>
        <w:tc>
          <w:tcPr>
            <w:tcW w:w="556" w:type="dxa"/>
          </w:tcPr>
          <w:p w:rsidR="00173643" w:rsidRPr="00473CF3" w:rsidRDefault="00173643" w:rsidP="00517E6E">
            <w:pPr>
              <w:jc w:val="both"/>
              <w:rPr>
                <w:lang w:val="lt-LT"/>
              </w:rPr>
            </w:pPr>
            <w:r w:rsidRPr="00473CF3">
              <w:rPr>
                <w:lang w:val="lt-LT"/>
              </w:rPr>
              <w:t>1.</w:t>
            </w:r>
          </w:p>
        </w:tc>
        <w:tc>
          <w:tcPr>
            <w:tcW w:w="1991" w:type="dxa"/>
          </w:tcPr>
          <w:p w:rsidR="00173643" w:rsidRPr="00473CF3" w:rsidRDefault="00173643" w:rsidP="00BC5E06">
            <w:pPr>
              <w:rPr>
                <w:lang w:val="lt-LT"/>
              </w:rPr>
            </w:pPr>
            <w:r w:rsidRPr="00473CF3">
              <w:rPr>
                <w:lang w:val="lt-LT"/>
              </w:rPr>
              <w:t>Klaipėdos miesto savivaldybė</w:t>
            </w:r>
          </w:p>
        </w:tc>
        <w:tc>
          <w:tcPr>
            <w:tcW w:w="1843" w:type="dxa"/>
            <w:vAlign w:val="center"/>
          </w:tcPr>
          <w:p w:rsidR="00173643" w:rsidRPr="00473CF3" w:rsidRDefault="00107917" w:rsidP="00173643">
            <w:pPr>
              <w:jc w:val="center"/>
              <w:rPr>
                <w:lang w:val="lt-LT"/>
              </w:rPr>
            </w:pPr>
            <w:r w:rsidRPr="00473CF3">
              <w:rPr>
                <w:color w:val="000000"/>
                <w:lang w:val="lt-LT"/>
              </w:rPr>
              <w:t>2 521 986</w:t>
            </w:r>
          </w:p>
        </w:tc>
        <w:tc>
          <w:tcPr>
            <w:tcW w:w="1701" w:type="dxa"/>
            <w:vAlign w:val="center"/>
          </w:tcPr>
          <w:p w:rsidR="00173643" w:rsidRPr="00473CF3" w:rsidRDefault="00213913" w:rsidP="00173643">
            <w:pPr>
              <w:jc w:val="center"/>
              <w:rPr>
                <w:lang w:val="lt-LT"/>
              </w:rPr>
            </w:pPr>
            <w:r w:rsidRPr="00473CF3">
              <w:rPr>
                <w:lang w:val="lt-LT"/>
              </w:rPr>
              <w:t>100</w:t>
            </w:r>
          </w:p>
        </w:tc>
        <w:tc>
          <w:tcPr>
            <w:tcW w:w="1984" w:type="dxa"/>
            <w:vAlign w:val="center"/>
          </w:tcPr>
          <w:p w:rsidR="00173643" w:rsidRPr="00473CF3" w:rsidRDefault="00F65150" w:rsidP="00107917">
            <w:pPr>
              <w:jc w:val="center"/>
              <w:rPr>
                <w:color w:val="000000"/>
                <w:lang w:val="lt-LT"/>
              </w:rPr>
            </w:pPr>
            <w:r w:rsidRPr="00473CF3">
              <w:rPr>
                <w:color w:val="000000"/>
                <w:lang w:val="lt-LT"/>
              </w:rPr>
              <w:t>2</w:t>
            </w:r>
            <w:r w:rsidR="00107917" w:rsidRPr="00473CF3">
              <w:rPr>
                <w:color w:val="000000"/>
                <w:lang w:val="lt-LT"/>
              </w:rPr>
              <w:t>1</w:t>
            </w:r>
            <w:r w:rsidRPr="00473CF3">
              <w:rPr>
                <w:color w:val="000000"/>
                <w:lang w:val="lt-LT"/>
              </w:rPr>
              <w:t> </w:t>
            </w:r>
            <w:r w:rsidR="00107917" w:rsidRPr="00473CF3">
              <w:rPr>
                <w:color w:val="000000"/>
                <w:lang w:val="lt-LT"/>
              </w:rPr>
              <w:t>107</w:t>
            </w:r>
            <w:r w:rsidRPr="00473CF3">
              <w:rPr>
                <w:color w:val="000000"/>
                <w:lang w:val="lt-LT"/>
              </w:rPr>
              <w:t xml:space="preserve"> </w:t>
            </w:r>
            <w:r w:rsidR="00107917" w:rsidRPr="00473CF3">
              <w:rPr>
                <w:color w:val="000000"/>
                <w:lang w:val="lt-LT"/>
              </w:rPr>
              <w:t>804</w:t>
            </w:r>
          </w:p>
        </w:tc>
        <w:tc>
          <w:tcPr>
            <w:tcW w:w="1553" w:type="dxa"/>
            <w:vAlign w:val="center"/>
          </w:tcPr>
          <w:p w:rsidR="00173643" w:rsidRPr="00473CF3" w:rsidRDefault="00F65150" w:rsidP="008E7BB5">
            <w:pPr>
              <w:jc w:val="center"/>
              <w:rPr>
                <w:lang w:val="lt-LT"/>
              </w:rPr>
            </w:pPr>
            <w:r w:rsidRPr="00473CF3">
              <w:rPr>
                <w:lang w:val="lt-LT"/>
              </w:rPr>
              <w:t>100</w:t>
            </w:r>
          </w:p>
        </w:tc>
      </w:tr>
    </w:tbl>
    <w:p w:rsidR="002A2965" w:rsidRPr="00473CF3" w:rsidRDefault="00F54C29" w:rsidP="0084047B">
      <w:pPr>
        <w:pStyle w:val="Pagrindinistekstas"/>
        <w:tabs>
          <w:tab w:val="left" w:pos="9639"/>
        </w:tabs>
        <w:spacing w:line="240" w:lineRule="auto"/>
        <w:ind w:firstLine="0"/>
        <w:jc w:val="both"/>
        <w:rPr>
          <w:szCs w:val="24"/>
        </w:rPr>
      </w:pPr>
      <w:r w:rsidRPr="00473CF3">
        <w:rPr>
          <w:szCs w:val="24"/>
        </w:rPr>
        <w:t xml:space="preserve">            </w:t>
      </w:r>
      <w:r w:rsidR="008A7582" w:rsidRPr="00473CF3">
        <w:rPr>
          <w:b/>
          <w:szCs w:val="24"/>
        </w:rPr>
        <w:t xml:space="preserve">6. </w:t>
      </w:r>
      <w:r w:rsidR="007846C2" w:rsidRPr="00473CF3">
        <w:rPr>
          <w:b/>
          <w:szCs w:val="24"/>
        </w:rPr>
        <w:t>Lėšų poreikis sprendimo įgyvendinimui.</w:t>
      </w:r>
      <w:r w:rsidR="007846C2" w:rsidRPr="00473CF3">
        <w:rPr>
          <w:szCs w:val="24"/>
        </w:rPr>
        <w:t xml:space="preserve"> Savivaldybės biudžeto lėš</w:t>
      </w:r>
      <w:r w:rsidR="00B86B43" w:rsidRPr="00473CF3">
        <w:rPr>
          <w:szCs w:val="24"/>
        </w:rPr>
        <w:t>oms</w:t>
      </w:r>
      <w:r w:rsidR="003052DC" w:rsidRPr="00473CF3">
        <w:rPr>
          <w:szCs w:val="24"/>
        </w:rPr>
        <w:t xml:space="preserve"> poreikio nėra</w:t>
      </w:r>
      <w:r w:rsidR="007846C2" w:rsidRPr="00473CF3">
        <w:rPr>
          <w:szCs w:val="24"/>
        </w:rPr>
        <w:t>.</w:t>
      </w:r>
    </w:p>
    <w:p w:rsidR="00807258" w:rsidRPr="00473CF3" w:rsidRDefault="008A7582" w:rsidP="00CF52FB">
      <w:pPr>
        <w:pStyle w:val="Pagrindinistekstas"/>
        <w:tabs>
          <w:tab w:val="left" w:pos="9639"/>
        </w:tabs>
        <w:spacing w:line="240" w:lineRule="auto"/>
        <w:ind w:firstLine="720"/>
        <w:jc w:val="both"/>
        <w:rPr>
          <w:b/>
          <w:szCs w:val="24"/>
        </w:rPr>
      </w:pPr>
      <w:r w:rsidRPr="00473CF3">
        <w:rPr>
          <w:b/>
          <w:szCs w:val="24"/>
        </w:rPr>
        <w:t xml:space="preserve">7. </w:t>
      </w:r>
      <w:r w:rsidR="007846C2" w:rsidRPr="00473CF3">
        <w:rPr>
          <w:b/>
          <w:szCs w:val="24"/>
        </w:rPr>
        <w:t>Galimos teigiamos ar neigiamos sprendimo priėmimo pasekmės.</w:t>
      </w:r>
    </w:p>
    <w:p w:rsidR="00B65C69" w:rsidRPr="00473CF3" w:rsidRDefault="0035401F" w:rsidP="00C5739F">
      <w:pPr>
        <w:pStyle w:val="Pagrindinistekstas"/>
        <w:tabs>
          <w:tab w:val="left" w:pos="9639"/>
        </w:tabs>
        <w:spacing w:line="240" w:lineRule="auto"/>
        <w:ind w:firstLine="720"/>
        <w:jc w:val="both"/>
        <w:rPr>
          <w:szCs w:val="24"/>
        </w:rPr>
      </w:pPr>
      <w:r w:rsidRPr="00473CF3">
        <w:rPr>
          <w:rStyle w:val="fontstyle36"/>
          <w:szCs w:val="24"/>
        </w:rPr>
        <w:t xml:space="preserve">Savivaldybės investicija </w:t>
      </w:r>
      <w:r w:rsidRPr="00473CF3">
        <w:rPr>
          <w:szCs w:val="24"/>
        </w:rPr>
        <w:t>užtikrins UAB „Gatvių apšvietimas“ akcijų įsigijimą</w:t>
      </w:r>
      <w:r w:rsidRPr="00473CF3">
        <w:rPr>
          <w:rStyle w:val="fontstyle36"/>
          <w:szCs w:val="24"/>
        </w:rPr>
        <w:t xml:space="preserve">, </w:t>
      </w:r>
      <w:r w:rsidR="00343BF0" w:rsidRPr="00473CF3">
        <w:rPr>
          <w:color w:val="000000"/>
          <w:spacing w:val="-3"/>
          <w:szCs w:val="24"/>
        </w:rPr>
        <w:t>sudarys sąlygas</w:t>
      </w:r>
      <w:r w:rsidRPr="00473CF3">
        <w:rPr>
          <w:color w:val="000000"/>
          <w:spacing w:val="-3"/>
          <w:szCs w:val="24"/>
        </w:rPr>
        <w:t xml:space="preserve"> </w:t>
      </w:r>
      <w:r w:rsidRPr="00473CF3">
        <w:rPr>
          <w:rStyle w:val="fontstyle36"/>
          <w:szCs w:val="24"/>
        </w:rPr>
        <w:t xml:space="preserve">kurti ir plėtoti infrastruktūrą, naudingą visuomenei, pagerinti viešųjų paslaugų kokybę, </w:t>
      </w:r>
      <w:r w:rsidR="00D03C65" w:rsidRPr="00473CF3">
        <w:rPr>
          <w:rStyle w:val="fontstyle36"/>
          <w:szCs w:val="24"/>
        </w:rPr>
        <w:t xml:space="preserve">sukurti pridėtinę vertę, </w:t>
      </w:r>
      <w:r w:rsidRPr="00473CF3">
        <w:rPr>
          <w:rStyle w:val="fontstyle36"/>
          <w:szCs w:val="24"/>
        </w:rPr>
        <w:t>užtikrinti gaunamą teigiamą socialinį rezultat</w:t>
      </w:r>
      <w:r w:rsidR="00874DCA" w:rsidRPr="00473CF3">
        <w:rPr>
          <w:rStyle w:val="fontstyle36"/>
          <w:szCs w:val="24"/>
        </w:rPr>
        <w:t>ą</w:t>
      </w:r>
      <w:r w:rsidR="007571DB">
        <w:rPr>
          <w:rStyle w:val="fontstyle36"/>
          <w:szCs w:val="24"/>
        </w:rPr>
        <w:t xml:space="preserve">, </w:t>
      </w:r>
      <w:r w:rsidR="00343BF0" w:rsidRPr="00473CF3">
        <w:rPr>
          <w:rStyle w:val="fontstyle36"/>
          <w:szCs w:val="24"/>
        </w:rPr>
        <w:t>bei</w:t>
      </w:r>
      <w:r w:rsidRPr="00473CF3">
        <w:rPr>
          <w:rStyle w:val="fontstyle36"/>
          <w:szCs w:val="24"/>
        </w:rPr>
        <w:t xml:space="preserve"> veiksmingesnį Lietuvos Respublikos įstatymuose ir Vyriausybės nutarimuose nustatytų valstybės ir savivaldybės funkcijų atlikim</w:t>
      </w:r>
      <w:r w:rsidR="00D03C65" w:rsidRPr="00473CF3">
        <w:rPr>
          <w:rStyle w:val="fontstyle36"/>
          <w:szCs w:val="24"/>
        </w:rPr>
        <w:t xml:space="preserve">ą, operatyviau ir efektyviau įgyvendinti strateginio planavimo </w:t>
      </w:r>
      <w:r w:rsidR="007571DB">
        <w:rPr>
          <w:rStyle w:val="fontstyle36"/>
          <w:szCs w:val="24"/>
        </w:rPr>
        <w:t>dokumentuose nustatytus tikslus, skatinti Lietuvos ekonomikos augimą.</w:t>
      </w:r>
    </w:p>
    <w:p w:rsidR="00C5739F" w:rsidRPr="00473CF3" w:rsidRDefault="00C5739F" w:rsidP="00CF52FB">
      <w:pPr>
        <w:jc w:val="both"/>
        <w:rPr>
          <w:sz w:val="24"/>
          <w:szCs w:val="24"/>
          <w:lang w:val="lt-LT"/>
        </w:rPr>
      </w:pPr>
    </w:p>
    <w:p w:rsidR="009D3C44" w:rsidRDefault="009D3C44" w:rsidP="00CF52FB">
      <w:pPr>
        <w:jc w:val="both"/>
        <w:rPr>
          <w:sz w:val="24"/>
          <w:szCs w:val="24"/>
          <w:lang w:val="lt-LT"/>
        </w:rPr>
      </w:pPr>
    </w:p>
    <w:p w:rsidR="00D21463" w:rsidRPr="00473CF3" w:rsidRDefault="007846C2" w:rsidP="00CF52FB">
      <w:pPr>
        <w:jc w:val="both"/>
        <w:rPr>
          <w:sz w:val="24"/>
          <w:szCs w:val="24"/>
          <w:lang w:val="lt-LT"/>
        </w:rPr>
      </w:pPr>
      <w:r w:rsidRPr="00473CF3">
        <w:rPr>
          <w:sz w:val="24"/>
          <w:szCs w:val="24"/>
          <w:lang w:val="lt-LT"/>
        </w:rPr>
        <w:t>Turto skyriaus vedėj</w:t>
      </w:r>
      <w:r w:rsidR="00A111BC" w:rsidRPr="00473CF3">
        <w:rPr>
          <w:sz w:val="24"/>
          <w:szCs w:val="24"/>
          <w:lang w:val="lt-LT"/>
        </w:rPr>
        <w:t>a</w:t>
      </w:r>
      <w:r w:rsidR="008A7582" w:rsidRPr="00473CF3">
        <w:rPr>
          <w:sz w:val="24"/>
          <w:szCs w:val="24"/>
          <w:lang w:val="lt-LT"/>
        </w:rPr>
        <w:t>s</w:t>
      </w:r>
      <w:r w:rsidR="008A7582" w:rsidRPr="00473CF3">
        <w:rPr>
          <w:sz w:val="24"/>
          <w:szCs w:val="24"/>
          <w:lang w:val="lt-LT"/>
        </w:rPr>
        <w:tab/>
      </w:r>
      <w:r w:rsidR="008A7582" w:rsidRPr="00473CF3">
        <w:rPr>
          <w:sz w:val="24"/>
          <w:szCs w:val="24"/>
          <w:lang w:val="lt-LT"/>
        </w:rPr>
        <w:tab/>
      </w:r>
      <w:r w:rsidR="008A7582" w:rsidRPr="00473CF3">
        <w:rPr>
          <w:sz w:val="24"/>
          <w:szCs w:val="24"/>
          <w:lang w:val="lt-LT"/>
        </w:rPr>
        <w:tab/>
      </w:r>
      <w:r w:rsidR="008A7582" w:rsidRPr="00473CF3">
        <w:rPr>
          <w:sz w:val="24"/>
          <w:szCs w:val="24"/>
          <w:lang w:val="lt-LT"/>
        </w:rPr>
        <w:tab/>
        <w:t xml:space="preserve">                   </w:t>
      </w:r>
      <w:r w:rsidR="00485739" w:rsidRPr="00473CF3">
        <w:rPr>
          <w:sz w:val="24"/>
          <w:szCs w:val="24"/>
          <w:lang w:val="lt-LT"/>
        </w:rPr>
        <w:t>Edvardas Simokaitis</w:t>
      </w:r>
    </w:p>
    <w:sectPr w:rsidR="00D21463" w:rsidRPr="00473CF3" w:rsidSect="00C5739F">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338C7"/>
    <w:multiLevelType w:val="hybridMultilevel"/>
    <w:tmpl w:val="E25ECF5A"/>
    <w:lvl w:ilvl="0" w:tplc="4560EA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C2"/>
    <w:rsid w:val="00004751"/>
    <w:rsid w:val="000130E2"/>
    <w:rsid w:val="000416CC"/>
    <w:rsid w:val="00060056"/>
    <w:rsid w:val="000674EA"/>
    <w:rsid w:val="000B1E15"/>
    <w:rsid w:val="000F6FF5"/>
    <w:rsid w:val="00107917"/>
    <w:rsid w:val="00111199"/>
    <w:rsid w:val="001127EA"/>
    <w:rsid w:val="00141EE8"/>
    <w:rsid w:val="0014222B"/>
    <w:rsid w:val="001467BC"/>
    <w:rsid w:val="00157976"/>
    <w:rsid w:val="00173643"/>
    <w:rsid w:val="001A1397"/>
    <w:rsid w:val="001A7B9F"/>
    <w:rsid w:val="001B7973"/>
    <w:rsid w:val="001D73A5"/>
    <w:rsid w:val="001E5D84"/>
    <w:rsid w:val="001E5F07"/>
    <w:rsid w:val="001E64B1"/>
    <w:rsid w:val="0021093C"/>
    <w:rsid w:val="00213913"/>
    <w:rsid w:val="002155FC"/>
    <w:rsid w:val="0022152F"/>
    <w:rsid w:val="00231710"/>
    <w:rsid w:val="002326DC"/>
    <w:rsid w:val="0023695B"/>
    <w:rsid w:val="00237700"/>
    <w:rsid w:val="00241464"/>
    <w:rsid w:val="00245F47"/>
    <w:rsid w:val="00266F70"/>
    <w:rsid w:val="00275F6D"/>
    <w:rsid w:val="0029248C"/>
    <w:rsid w:val="002A0B93"/>
    <w:rsid w:val="002A2965"/>
    <w:rsid w:val="002A3D4A"/>
    <w:rsid w:val="002B3EA3"/>
    <w:rsid w:val="002B50A1"/>
    <w:rsid w:val="002D3637"/>
    <w:rsid w:val="002F6F19"/>
    <w:rsid w:val="00301306"/>
    <w:rsid w:val="003043E1"/>
    <w:rsid w:val="003052DC"/>
    <w:rsid w:val="00316C92"/>
    <w:rsid w:val="003204EF"/>
    <w:rsid w:val="00322B6C"/>
    <w:rsid w:val="003263C4"/>
    <w:rsid w:val="003307EE"/>
    <w:rsid w:val="0033754F"/>
    <w:rsid w:val="00343BF0"/>
    <w:rsid w:val="0034662B"/>
    <w:rsid w:val="003504BE"/>
    <w:rsid w:val="0035401F"/>
    <w:rsid w:val="00367D89"/>
    <w:rsid w:val="00382DAD"/>
    <w:rsid w:val="00390F5F"/>
    <w:rsid w:val="00396007"/>
    <w:rsid w:val="003A4B6E"/>
    <w:rsid w:val="003B3D9F"/>
    <w:rsid w:val="003C0B56"/>
    <w:rsid w:val="003C3618"/>
    <w:rsid w:val="003D680B"/>
    <w:rsid w:val="003D6942"/>
    <w:rsid w:val="003D6B1C"/>
    <w:rsid w:val="003E14B7"/>
    <w:rsid w:val="003E7311"/>
    <w:rsid w:val="003F0E21"/>
    <w:rsid w:val="00402012"/>
    <w:rsid w:val="00402175"/>
    <w:rsid w:val="0040406A"/>
    <w:rsid w:val="00406E9F"/>
    <w:rsid w:val="00420CB6"/>
    <w:rsid w:val="00425AC4"/>
    <w:rsid w:val="004343CE"/>
    <w:rsid w:val="004459DA"/>
    <w:rsid w:val="00450D59"/>
    <w:rsid w:val="004513E4"/>
    <w:rsid w:val="00460898"/>
    <w:rsid w:val="00462B31"/>
    <w:rsid w:val="00473CF3"/>
    <w:rsid w:val="0047407B"/>
    <w:rsid w:val="004757C1"/>
    <w:rsid w:val="00485739"/>
    <w:rsid w:val="00487434"/>
    <w:rsid w:val="00492001"/>
    <w:rsid w:val="004A6A7F"/>
    <w:rsid w:val="004B02D1"/>
    <w:rsid w:val="004C3D5B"/>
    <w:rsid w:val="004D2016"/>
    <w:rsid w:val="004D30B6"/>
    <w:rsid w:val="004D410D"/>
    <w:rsid w:val="004F645D"/>
    <w:rsid w:val="00501A8F"/>
    <w:rsid w:val="00517E6E"/>
    <w:rsid w:val="00522DB3"/>
    <w:rsid w:val="00535AB9"/>
    <w:rsid w:val="00537048"/>
    <w:rsid w:val="00554A68"/>
    <w:rsid w:val="0055594D"/>
    <w:rsid w:val="00565106"/>
    <w:rsid w:val="00566CE1"/>
    <w:rsid w:val="00571C80"/>
    <w:rsid w:val="00580172"/>
    <w:rsid w:val="005859B4"/>
    <w:rsid w:val="0059013E"/>
    <w:rsid w:val="005910C2"/>
    <w:rsid w:val="00592969"/>
    <w:rsid w:val="00597148"/>
    <w:rsid w:val="00597C59"/>
    <w:rsid w:val="005A2BE1"/>
    <w:rsid w:val="005A6293"/>
    <w:rsid w:val="005B0494"/>
    <w:rsid w:val="005B7641"/>
    <w:rsid w:val="005C46B7"/>
    <w:rsid w:val="005C6285"/>
    <w:rsid w:val="005D7C9D"/>
    <w:rsid w:val="005E7A42"/>
    <w:rsid w:val="005F522D"/>
    <w:rsid w:val="005F5387"/>
    <w:rsid w:val="0061214B"/>
    <w:rsid w:val="00623AF4"/>
    <w:rsid w:val="00636F08"/>
    <w:rsid w:val="006509EB"/>
    <w:rsid w:val="006516AA"/>
    <w:rsid w:val="00655EA1"/>
    <w:rsid w:val="00666D82"/>
    <w:rsid w:val="00685ED6"/>
    <w:rsid w:val="00692582"/>
    <w:rsid w:val="00696F2A"/>
    <w:rsid w:val="006A104A"/>
    <w:rsid w:val="006A5BC7"/>
    <w:rsid w:val="006C53A8"/>
    <w:rsid w:val="006D27A6"/>
    <w:rsid w:val="006D72AB"/>
    <w:rsid w:val="006E3237"/>
    <w:rsid w:val="006F10E0"/>
    <w:rsid w:val="006F6B68"/>
    <w:rsid w:val="00706887"/>
    <w:rsid w:val="007079D0"/>
    <w:rsid w:val="007256D0"/>
    <w:rsid w:val="00726B59"/>
    <w:rsid w:val="00747E49"/>
    <w:rsid w:val="007571DB"/>
    <w:rsid w:val="0078359E"/>
    <w:rsid w:val="007846C2"/>
    <w:rsid w:val="007A0ACD"/>
    <w:rsid w:val="007A5AD9"/>
    <w:rsid w:val="007C15E5"/>
    <w:rsid w:val="007C4A49"/>
    <w:rsid w:val="007D4673"/>
    <w:rsid w:val="007E2E08"/>
    <w:rsid w:val="007E5901"/>
    <w:rsid w:val="007E5BD7"/>
    <w:rsid w:val="007F138E"/>
    <w:rsid w:val="0080018D"/>
    <w:rsid w:val="0080190F"/>
    <w:rsid w:val="00807258"/>
    <w:rsid w:val="00822F9A"/>
    <w:rsid w:val="00834B61"/>
    <w:rsid w:val="00835F25"/>
    <w:rsid w:val="0084047B"/>
    <w:rsid w:val="00843A67"/>
    <w:rsid w:val="00844668"/>
    <w:rsid w:val="00862F32"/>
    <w:rsid w:val="00870B7F"/>
    <w:rsid w:val="00871091"/>
    <w:rsid w:val="0087321D"/>
    <w:rsid w:val="00874DCA"/>
    <w:rsid w:val="0087771F"/>
    <w:rsid w:val="00880211"/>
    <w:rsid w:val="00892028"/>
    <w:rsid w:val="00892537"/>
    <w:rsid w:val="008948D8"/>
    <w:rsid w:val="00895005"/>
    <w:rsid w:val="0089541C"/>
    <w:rsid w:val="0089563B"/>
    <w:rsid w:val="00896F93"/>
    <w:rsid w:val="008A7582"/>
    <w:rsid w:val="008B76A5"/>
    <w:rsid w:val="008C09EA"/>
    <w:rsid w:val="008C3F6D"/>
    <w:rsid w:val="008D1899"/>
    <w:rsid w:val="008E7BB5"/>
    <w:rsid w:val="009007DB"/>
    <w:rsid w:val="00906F84"/>
    <w:rsid w:val="009070E9"/>
    <w:rsid w:val="00914E83"/>
    <w:rsid w:val="00922415"/>
    <w:rsid w:val="009271E7"/>
    <w:rsid w:val="00927F20"/>
    <w:rsid w:val="00931518"/>
    <w:rsid w:val="0093314F"/>
    <w:rsid w:val="00937ED7"/>
    <w:rsid w:val="00942D9D"/>
    <w:rsid w:val="00950F2D"/>
    <w:rsid w:val="009539FA"/>
    <w:rsid w:val="00955276"/>
    <w:rsid w:val="0097382E"/>
    <w:rsid w:val="009779D4"/>
    <w:rsid w:val="00985449"/>
    <w:rsid w:val="009B3A9F"/>
    <w:rsid w:val="009C3FC6"/>
    <w:rsid w:val="009D3C44"/>
    <w:rsid w:val="009E09CE"/>
    <w:rsid w:val="009E1C5F"/>
    <w:rsid w:val="009E3123"/>
    <w:rsid w:val="009E5396"/>
    <w:rsid w:val="00A00226"/>
    <w:rsid w:val="00A07221"/>
    <w:rsid w:val="00A10ABA"/>
    <w:rsid w:val="00A111BC"/>
    <w:rsid w:val="00A11E63"/>
    <w:rsid w:val="00A173F6"/>
    <w:rsid w:val="00A4210B"/>
    <w:rsid w:val="00A44D8A"/>
    <w:rsid w:val="00A55234"/>
    <w:rsid w:val="00A55B9B"/>
    <w:rsid w:val="00A56B29"/>
    <w:rsid w:val="00A7119E"/>
    <w:rsid w:val="00A7175D"/>
    <w:rsid w:val="00A91E3A"/>
    <w:rsid w:val="00AB14F3"/>
    <w:rsid w:val="00AB4221"/>
    <w:rsid w:val="00AB660C"/>
    <w:rsid w:val="00AC384E"/>
    <w:rsid w:val="00AC4DF5"/>
    <w:rsid w:val="00AD2E7C"/>
    <w:rsid w:val="00AE4126"/>
    <w:rsid w:val="00AE54EC"/>
    <w:rsid w:val="00AF4860"/>
    <w:rsid w:val="00B06C3F"/>
    <w:rsid w:val="00B07723"/>
    <w:rsid w:val="00B11956"/>
    <w:rsid w:val="00B14689"/>
    <w:rsid w:val="00B152E8"/>
    <w:rsid w:val="00B22AE0"/>
    <w:rsid w:val="00B33419"/>
    <w:rsid w:val="00B4323F"/>
    <w:rsid w:val="00B44719"/>
    <w:rsid w:val="00B52F28"/>
    <w:rsid w:val="00B55CA9"/>
    <w:rsid w:val="00B65C69"/>
    <w:rsid w:val="00B66F25"/>
    <w:rsid w:val="00B72AFF"/>
    <w:rsid w:val="00B731DF"/>
    <w:rsid w:val="00B759FE"/>
    <w:rsid w:val="00B82938"/>
    <w:rsid w:val="00B841FB"/>
    <w:rsid w:val="00B853D4"/>
    <w:rsid w:val="00B86B43"/>
    <w:rsid w:val="00B9397C"/>
    <w:rsid w:val="00BA316C"/>
    <w:rsid w:val="00BB581F"/>
    <w:rsid w:val="00BC5E06"/>
    <w:rsid w:val="00BE50AF"/>
    <w:rsid w:val="00C11955"/>
    <w:rsid w:val="00C1606C"/>
    <w:rsid w:val="00C17099"/>
    <w:rsid w:val="00C31F1E"/>
    <w:rsid w:val="00C40470"/>
    <w:rsid w:val="00C42D16"/>
    <w:rsid w:val="00C45D12"/>
    <w:rsid w:val="00C557A3"/>
    <w:rsid w:val="00C5739F"/>
    <w:rsid w:val="00C63FE8"/>
    <w:rsid w:val="00C838FE"/>
    <w:rsid w:val="00C8546C"/>
    <w:rsid w:val="00CC0A07"/>
    <w:rsid w:val="00CD5ED1"/>
    <w:rsid w:val="00CF52FB"/>
    <w:rsid w:val="00D01D35"/>
    <w:rsid w:val="00D03707"/>
    <w:rsid w:val="00D03C65"/>
    <w:rsid w:val="00D12B86"/>
    <w:rsid w:val="00D14B0E"/>
    <w:rsid w:val="00D152CC"/>
    <w:rsid w:val="00D21463"/>
    <w:rsid w:val="00D31101"/>
    <w:rsid w:val="00D47251"/>
    <w:rsid w:val="00D65A2C"/>
    <w:rsid w:val="00D65D64"/>
    <w:rsid w:val="00D6626A"/>
    <w:rsid w:val="00D67A46"/>
    <w:rsid w:val="00D763D0"/>
    <w:rsid w:val="00D81444"/>
    <w:rsid w:val="00D84475"/>
    <w:rsid w:val="00D85EAC"/>
    <w:rsid w:val="00D87874"/>
    <w:rsid w:val="00DA01AF"/>
    <w:rsid w:val="00DA1F48"/>
    <w:rsid w:val="00DA4C0A"/>
    <w:rsid w:val="00DA72F5"/>
    <w:rsid w:val="00DA7D27"/>
    <w:rsid w:val="00DB0E0F"/>
    <w:rsid w:val="00DB51A0"/>
    <w:rsid w:val="00DB669B"/>
    <w:rsid w:val="00DC1AA7"/>
    <w:rsid w:val="00DC299F"/>
    <w:rsid w:val="00DD304B"/>
    <w:rsid w:val="00DF4127"/>
    <w:rsid w:val="00E13850"/>
    <w:rsid w:val="00E21A35"/>
    <w:rsid w:val="00E244EB"/>
    <w:rsid w:val="00E40FC8"/>
    <w:rsid w:val="00E50FD5"/>
    <w:rsid w:val="00E628EB"/>
    <w:rsid w:val="00E667B2"/>
    <w:rsid w:val="00E852B1"/>
    <w:rsid w:val="00E94A14"/>
    <w:rsid w:val="00EA4269"/>
    <w:rsid w:val="00EB02C6"/>
    <w:rsid w:val="00EB2B45"/>
    <w:rsid w:val="00EB5E27"/>
    <w:rsid w:val="00EB716C"/>
    <w:rsid w:val="00EC2823"/>
    <w:rsid w:val="00EC2FD1"/>
    <w:rsid w:val="00ED2779"/>
    <w:rsid w:val="00ED738F"/>
    <w:rsid w:val="00EE0039"/>
    <w:rsid w:val="00EE6C84"/>
    <w:rsid w:val="00EF1AAA"/>
    <w:rsid w:val="00EF3A63"/>
    <w:rsid w:val="00F10D34"/>
    <w:rsid w:val="00F15FAE"/>
    <w:rsid w:val="00F2275D"/>
    <w:rsid w:val="00F34DB2"/>
    <w:rsid w:val="00F371BB"/>
    <w:rsid w:val="00F37EF1"/>
    <w:rsid w:val="00F4238F"/>
    <w:rsid w:val="00F4333F"/>
    <w:rsid w:val="00F54C29"/>
    <w:rsid w:val="00F557A7"/>
    <w:rsid w:val="00F56D2A"/>
    <w:rsid w:val="00F6012B"/>
    <w:rsid w:val="00F65150"/>
    <w:rsid w:val="00F679A5"/>
    <w:rsid w:val="00F71E0F"/>
    <w:rsid w:val="00F74EA1"/>
    <w:rsid w:val="00F75F01"/>
    <w:rsid w:val="00F804C5"/>
    <w:rsid w:val="00F958DA"/>
    <w:rsid w:val="00F966A7"/>
    <w:rsid w:val="00F97343"/>
    <w:rsid w:val="00FA10F3"/>
    <w:rsid w:val="00FA4B0E"/>
    <w:rsid w:val="00FB37DD"/>
    <w:rsid w:val="00FB5B6C"/>
    <w:rsid w:val="00FC6AA9"/>
    <w:rsid w:val="00FC7160"/>
    <w:rsid w:val="00FD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E4A3B-AD1D-4291-BC5E-6384E9F7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46C2"/>
    <w:pPr>
      <w:spacing w:after="0" w:line="240" w:lineRule="auto"/>
    </w:pPr>
    <w:rPr>
      <w:rFonts w:ascii="Times New Roman" w:eastAsia="Times New Roman" w:hAnsi="Times New Roman" w:cs="Times New Roman"/>
      <w:sz w:val="20"/>
      <w:szCs w:val="20"/>
      <w:lang w:val="en-US" w:eastAsia="lt-LT"/>
    </w:rPr>
  </w:style>
  <w:style w:type="paragraph" w:styleId="Antrat3">
    <w:name w:val="heading 3"/>
    <w:basedOn w:val="prastasis"/>
    <w:next w:val="prastasis"/>
    <w:link w:val="Antrat3Diagrama"/>
    <w:qFormat/>
    <w:rsid w:val="007846C2"/>
    <w:pPr>
      <w:keepNext/>
      <w:jc w:val="center"/>
      <w:outlineLvl w:val="2"/>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7846C2"/>
    <w:rPr>
      <w:rFonts w:ascii="Times New Roman" w:eastAsia="Times New Roman" w:hAnsi="Times New Roman" w:cs="Times New Roman"/>
      <w:b/>
      <w:sz w:val="24"/>
      <w:szCs w:val="20"/>
      <w:lang w:val="en-US" w:eastAsia="lt-LT"/>
    </w:rPr>
  </w:style>
  <w:style w:type="character" w:styleId="Hipersaitas">
    <w:name w:val="Hyperlink"/>
    <w:rsid w:val="007846C2"/>
    <w:rPr>
      <w:color w:val="000000"/>
      <w:u w:val="single"/>
    </w:rPr>
  </w:style>
  <w:style w:type="paragraph" w:styleId="Pagrindinistekstas">
    <w:name w:val="Body Text"/>
    <w:basedOn w:val="prastasis"/>
    <w:link w:val="PagrindinistekstasDiagrama"/>
    <w:rsid w:val="007846C2"/>
    <w:pPr>
      <w:spacing w:line="360" w:lineRule="auto"/>
      <w:ind w:firstLine="1298"/>
    </w:pPr>
    <w:rPr>
      <w:sz w:val="24"/>
      <w:lang w:val="lt-LT" w:eastAsia="en-US"/>
    </w:rPr>
  </w:style>
  <w:style w:type="character" w:customStyle="1" w:styleId="PagrindinistekstasDiagrama">
    <w:name w:val="Pagrindinis tekstas Diagrama"/>
    <w:basedOn w:val="Numatytasispastraiposriftas"/>
    <w:link w:val="Pagrindinistekstas"/>
    <w:rsid w:val="007846C2"/>
    <w:rPr>
      <w:rFonts w:ascii="Times New Roman" w:eastAsia="Times New Roman" w:hAnsi="Times New Roman" w:cs="Times New Roman"/>
      <w:sz w:val="24"/>
      <w:szCs w:val="20"/>
    </w:rPr>
  </w:style>
  <w:style w:type="character" w:customStyle="1" w:styleId="fontstyle36">
    <w:name w:val="fontstyle36"/>
    <w:basedOn w:val="Numatytasispastraiposriftas"/>
    <w:uiPriority w:val="99"/>
    <w:rsid w:val="007846C2"/>
  </w:style>
  <w:style w:type="paragraph" w:customStyle="1" w:styleId="pasiulymai3">
    <w:name w:val="pasiulymai3"/>
    <w:basedOn w:val="prastasis"/>
    <w:uiPriority w:val="99"/>
    <w:rsid w:val="00D12B86"/>
    <w:pPr>
      <w:spacing w:before="100" w:beforeAutospacing="1" w:after="100" w:afterAutospacing="1"/>
    </w:pPr>
    <w:rPr>
      <w:sz w:val="24"/>
      <w:szCs w:val="24"/>
      <w:lang w:val="lt-LT"/>
    </w:rPr>
  </w:style>
  <w:style w:type="table" w:styleId="Lentelstinklelis">
    <w:name w:val="Table Grid"/>
    <w:basedOn w:val="prastojilentel"/>
    <w:rsid w:val="0017364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A62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A6293"/>
    <w:rPr>
      <w:rFonts w:ascii="Tahoma" w:eastAsia="Times New Roman" w:hAnsi="Tahoma" w:cs="Tahoma"/>
      <w:sz w:val="16"/>
      <w:szCs w:val="16"/>
      <w:lang w:val="en-US" w:eastAsia="lt-LT"/>
    </w:rPr>
  </w:style>
  <w:style w:type="paragraph" w:styleId="Sraopastraipa">
    <w:name w:val="List Paragraph"/>
    <w:basedOn w:val="prastasis"/>
    <w:uiPriority w:val="34"/>
    <w:qFormat/>
    <w:rsid w:val="00AB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02">
      <w:bodyDiv w:val="1"/>
      <w:marLeft w:val="0"/>
      <w:marRight w:val="0"/>
      <w:marTop w:val="0"/>
      <w:marBottom w:val="0"/>
      <w:divBdr>
        <w:top w:val="none" w:sz="0" w:space="0" w:color="auto"/>
        <w:left w:val="none" w:sz="0" w:space="0" w:color="auto"/>
        <w:bottom w:val="none" w:sz="0" w:space="0" w:color="auto"/>
        <w:right w:val="none" w:sz="0" w:space="0" w:color="auto"/>
      </w:divBdr>
    </w:div>
    <w:div w:id="199248972">
      <w:bodyDiv w:val="1"/>
      <w:marLeft w:val="0"/>
      <w:marRight w:val="0"/>
      <w:marTop w:val="0"/>
      <w:marBottom w:val="0"/>
      <w:divBdr>
        <w:top w:val="none" w:sz="0" w:space="0" w:color="auto"/>
        <w:left w:val="none" w:sz="0" w:space="0" w:color="auto"/>
        <w:bottom w:val="none" w:sz="0" w:space="0" w:color="auto"/>
        <w:right w:val="none" w:sz="0" w:space="0" w:color="auto"/>
      </w:divBdr>
      <w:divsChild>
        <w:div w:id="1488980359">
          <w:marLeft w:val="0"/>
          <w:marRight w:val="0"/>
          <w:marTop w:val="0"/>
          <w:marBottom w:val="0"/>
          <w:divBdr>
            <w:top w:val="none" w:sz="0" w:space="0" w:color="auto"/>
            <w:left w:val="none" w:sz="0" w:space="0" w:color="auto"/>
            <w:bottom w:val="none" w:sz="0" w:space="0" w:color="auto"/>
            <w:right w:val="none" w:sz="0" w:space="0" w:color="auto"/>
          </w:divBdr>
          <w:divsChild>
            <w:div w:id="2005547224">
              <w:marLeft w:val="0"/>
              <w:marRight w:val="0"/>
              <w:marTop w:val="0"/>
              <w:marBottom w:val="0"/>
              <w:divBdr>
                <w:top w:val="none" w:sz="0" w:space="0" w:color="auto"/>
                <w:left w:val="none" w:sz="0" w:space="0" w:color="auto"/>
                <w:bottom w:val="none" w:sz="0" w:space="0" w:color="auto"/>
                <w:right w:val="none" w:sz="0" w:space="0" w:color="auto"/>
              </w:divBdr>
              <w:divsChild>
                <w:div w:id="2035034758">
                  <w:marLeft w:val="0"/>
                  <w:marRight w:val="0"/>
                  <w:marTop w:val="0"/>
                  <w:marBottom w:val="0"/>
                  <w:divBdr>
                    <w:top w:val="none" w:sz="0" w:space="0" w:color="auto"/>
                    <w:left w:val="none" w:sz="0" w:space="0" w:color="auto"/>
                    <w:bottom w:val="none" w:sz="0" w:space="0" w:color="auto"/>
                    <w:right w:val="none" w:sz="0" w:space="0" w:color="auto"/>
                  </w:divBdr>
                  <w:divsChild>
                    <w:div w:id="2092895680">
                      <w:marLeft w:val="0"/>
                      <w:marRight w:val="0"/>
                      <w:marTop w:val="0"/>
                      <w:marBottom w:val="0"/>
                      <w:divBdr>
                        <w:top w:val="none" w:sz="0" w:space="0" w:color="auto"/>
                        <w:left w:val="none" w:sz="0" w:space="0" w:color="auto"/>
                        <w:bottom w:val="none" w:sz="0" w:space="0" w:color="auto"/>
                        <w:right w:val="none" w:sz="0" w:space="0" w:color="auto"/>
                      </w:divBdr>
                      <w:divsChild>
                        <w:div w:id="506797209">
                          <w:marLeft w:val="0"/>
                          <w:marRight w:val="0"/>
                          <w:marTop w:val="0"/>
                          <w:marBottom w:val="0"/>
                          <w:divBdr>
                            <w:top w:val="none" w:sz="0" w:space="0" w:color="auto"/>
                            <w:left w:val="none" w:sz="0" w:space="0" w:color="auto"/>
                            <w:bottom w:val="none" w:sz="0" w:space="0" w:color="auto"/>
                            <w:right w:val="none" w:sz="0" w:space="0" w:color="auto"/>
                          </w:divBdr>
                        </w:div>
                        <w:div w:id="676272398">
                          <w:marLeft w:val="0"/>
                          <w:marRight w:val="0"/>
                          <w:marTop w:val="0"/>
                          <w:marBottom w:val="0"/>
                          <w:divBdr>
                            <w:top w:val="none" w:sz="0" w:space="0" w:color="auto"/>
                            <w:left w:val="none" w:sz="0" w:space="0" w:color="auto"/>
                            <w:bottom w:val="none" w:sz="0" w:space="0" w:color="auto"/>
                            <w:right w:val="none" w:sz="0" w:space="0" w:color="auto"/>
                          </w:divBdr>
                        </w:div>
                        <w:div w:id="805247268">
                          <w:marLeft w:val="0"/>
                          <w:marRight w:val="0"/>
                          <w:marTop w:val="0"/>
                          <w:marBottom w:val="0"/>
                          <w:divBdr>
                            <w:top w:val="none" w:sz="0" w:space="0" w:color="auto"/>
                            <w:left w:val="none" w:sz="0" w:space="0" w:color="auto"/>
                            <w:bottom w:val="none" w:sz="0" w:space="0" w:color="auto"/>
                            <w:right w:val="none" w:sz="0" w:space="0" w:color="auto"/>
                          </w:divBdr>
                        </w:div>
                        <w:div w:id="440606646">
                          <w:marLeft w:val="0"/>
                          <w:marRight w:val="0"/>
                          <w:marTop w:val="0"/>
                          <w:marBottom w:val="0"/>
                          <w:divBdr>
                            <w:top w:val="none" w:sz="0" w:space="0" w:color="auto"/>
                            <w:left w:val="none" w:sz="0" w:space="0" w:color="auto"/>
                            <w:bottom w:val="none" w:sz="0" w:space="0" w:color="auto"/>
                            <w:right w:val="none" w:sz="0" w:space="0" w:color="auto"/>
                          </w:divBdr>
                        </w:div>
                        <w:div w:id="224339060">
                          <w:marLeft w:val="0"/>
                          <w:marRight w:val="0"/>
                          <w:marTop w:val="0"/>
                          <w:marBottom w:val="0"/>
                          <w:divBdr>
                            <w:top w:val="none" w:sz="0" w:space="0" w:color="auto"/>
                            <w:left w:val="none" w:sz="0" w:space="0" w:color="auto"/>
                            <w:bottom w:val="none" w:sz="0" w:space="0" w:color="auto"/>
                            <w:right w:val="none" w:sz="0" w:space="0" w:color="auto"/>
                          </w:divBdr>
                        </w:div>
                        <w:div w:id="2115130621">
                          <w:marLeft w:val="0"/>
                          <w:marRight w:val="0"/>
                          <w:marTop w:val="0"/>
                          <w:marBottom w:val="0"/>
                          <w:divBdr>
                            <w:top w:val="none" w:sz="0" w:space="0" w:color="auto"/>
                            <w:left w:val="none" w:sz="0" w:space="0" w:color="auto"/>
                            <w:bottom w:val="none" w:sz="0" w:space="0" w:color="auto"/>
                            <w:right w:val="none" w:sz="0" w:space="0" w:color="auto"/>
                          </w:divBdr>
                        </w:div>
                        <w:div w:id="177741364">
                          <w:marLeft w:val="0"/>
                          <w:marRight w:val="0"/>
                          <w:marTop w:val="0"/>
                          <w:marBottom w:val="0"/>
                          <w:divBdr>
                            <w:top w:val="none" w:sz="0" w:space="0" w:color="auto"/>
                            <w:left w:val="none" w:sz="0" w:space="0" w:color="auto"/>
                            <w:bottom w:val="none" w:sz="0" w:space="0" w:color="auto"/>
                            <w:right w:val="none" w:sz="0" w:space="0" w:color="auto"/>
                          </w:divBdr>
                        </w:div>
                        <w:div w:id="1422067260">
                          <w:marLeft w:val="0"/>
                          <w:marRight w:val="0"/>
                          <w:marTop w:val="0"/>
                          <w:marBottom w:val="0"/>
                          <w:divBdr>
                            <w:top w:val="none" w:sz="0" w:space="0" w:color="auto"/>
                            <w:left w:val="none" w:sz="0" w:space="0" w:color="auto"/>
                            <w:bottom w:val="none" w:sz="0" w:space="0" w:color="auto"/>
                            <w:right w:val="none" w:sz="0" w:space="0" w:color="auto"/>
                          </w:divBdr>
                        </w:div>
                        <w:div w:id="6933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01268">
      <w:bodyDiv w:val="1"/>
      <w:marLeft w:val="0"/>
      <w:marRight w:val="0"/>
      <w:marTop w:val="0"/>
      <w:marBottom w:val="0"/>
      <w:divBdr>
        <w:top w:val="none" w:sz="0" w:space="0" w:color="auto"/>
        <w:left w:val="none" w:sz="0" w:space="0" w:color="auto"/>
        <w:bottom w:val="none" w:sz="0" w:space="0" w:color="auto"/>
        <w:right w:val="none" w:sz="0" w:space="0" w:color="auto"/>
      </w:divBdr>
    </w:div>
    <w:div w:id="991107053">
      <w:bodyDiv w:val="1"/>
      <w:marLeft w:val="0"/>
      <w:marRight w:val="0"/>
      <w:marTop w:val="0"/>
      <w:marBottom w:val="0"/>
      <w:divBdr>
        <w:top w:val="none" w:sz="0" w:space="0" w:color="auto"/>
        <w:left w:val="none" w:sz="0" w:space="0" w:color="auto"/>
        <w:bottom w:val="none" w:sz="0" w:space="0" w:color="auto"/>
        <w:right w:val="none" w:sz="0" w:space="0" w:color="auto"/>
      </w:divBdr>
    </w:div>
    <w:div w:id="1456409554">
      <w:bodyDiv w:val="1"/>
      <w:marLeft w:val="0"/>
      <w:marRight w:val="0"/>
      <w:marTop w:val="0"/>
      <w:marBottom w:val="0"/>
      <w:divBdr>
        <w:top w:val="none" w:sz="0" w:space="0" w:color="auto"/>
        <w:left w:val="none" w:sz="0" w:space="0" w:color="auto"/>
        <w:bottom w:val="none" w:sz="0" w:space="0" w:color="auto"/>
        <w:right w:val="none" w:sz="0" w:space="0" w:color="auto"/>
      </w:divBdr>
    </w:div>
    <w:div w:id="1809056401">
      <w:bodyDiv w:val="1"/>
      <w:marLeft w:val="0"/>
      <w:marRight w:val="0"/>
      <w:marTop w:val="0"/>
      <w:marBottom w:val="0"/>
      <w:divBdr>
        <w:top w:val="none" w:sz="0" w:space="0" w:color="auto"/>
        <w:left w:val="none" w:sz="0" w:space="0" w:color="auto"/>
        <w:bottom w:val="none" w:sz="0" w:space="0" w:color="auto"/>
        <w:right w:val="none" w:sz="0" w:space="0" w:color="auto"/>
      </w:divBdr>
    </w:div>
    <w:div w:id="20620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9250</Words>
  <Characters>5273</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Klaipedos m. sav. administracija</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Petrauskaite</dc:creator>
  <cp:lastModifiedBy>Virginija Palaimiene</cp:lastModifiedBy>
  <cp:revision>2</cp:revision>
  <cp:lastPrinted>2016-03-17T07:12:00Z</cp:lastPrinted>
  <dcterms:created xsi:type="dcterms:W3CDTF">2018-03-16T13:40:00Z</dcterms:created>
  <dcterms:modified xsi:type="dcterms:W3CDTF">2018-03-16T13:40:00Z</dcterms:modified>
</cp:coreProperties>
</file>