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FFE" w:rsidRPr="005E3FFE" w:rsidRDefault="005E3FFE" w:rsidP="005E3FFE">
      <w:pPr>
        <w:keepNext/>
        <w:keepLines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caps/>
          <w:color w:val="2E74B5"/>
          <w:sz w:val="24"/>
          <w:szCs w:val="24"/>
        </w:rPr>
      </w:pPr>
      <w:bookmarkStart w:id="0" w:name="_Toc488706834"/>
      <w:bookmarkStart w:id="1" w:name="_GoBack"/>
      <w:bookmarkEnd w:id="1"/>
      <w:r w:rsidRPr="005E3FFE">
        <w:rPr>
          <w:rFonts w:ascii="Times New Roman" w:eastAsia="Times New Roman" w:hAnsi="Times New Roman" w:cs="Times New Roman"/>
          <w:b/>
          <w:caps/>
          <w:sz w:val="24"/>
          <w:szCs w:val="24"/>
        </w:rPr>
        <w:t>3 priedas. Suteikiančiosios institucijos Minimalūs Baseino paslaugų poreikiai</w:t>
      </w:r>
      <w:bookmarkEnd w:id="0"/>
      <w:r w:rsidRPr="005E3FFE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</w:p>
    <w:p w:rsidR="005E3FFE" w:rsidRPr="005E3FFE" w:rsidRDefault="005E3FFE" w:rsidP="005E3FFE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0"/>
        <w:gridCol w:w="2977"/>
        <w:gridCol w:w="1999"/>
        <w:gridCol w:w="1999"/>
        <w:gridCol w:w="1999"/>
        <w:gridCol w:w="2000"/>
        <w:gridCol w:w="2000"/>
      </w:tblGrid>
      <w:tr w:rsidR="005E3FFE" w:rsidRPr="005E3FFE" w:rsidTr="00AD448A">
        <w:tc>
          <w:tcPr>
            <w:tcW w:w="570" w:type="dxa"/>
            <w:vAlign w:val="center"/>
          </w:tcPr>
          <w:p w:rsidR="005E3FFE" w:rsidRPr="005E3FFE" w:rsidRDefault="005E3FFE" w:rsidP="005E3FFE">
            <w:pPr>
              <w:rPr>
                <w:rFonts w:eastAsia="Calibri"/>
                <w:b/>
              </w:rPr>
            </w:pPr>
            <w:r w:rsidRPr="005E3FFE">
              <w:rPr>
                <w:rFonts w:eastAsia="Calibri"/>
                <w:b/>
              </w:rPr>
              <w:t>Eil. Nr.</w:t>
            </w:r>
          </w:p>
        </w:tc>
        <w:tc>
          <w:tcPr>
            <w:tcW w:w="2977" w:type="dxa"/>
            <w:vAlign w:val="center"/>
          </w:tcPr>
          <w:p w:rsidR="005E3FFE" w:rsidRPr="005E3FFE" w:rsidRDefault="005E3FFE" w:rsidP="005E3FFE">
            <w:pPr>
              <w:rPr>
                <w:rFonts w:eastAsia="Calibri"/>
                <w:b/>
              </w:rPr>
            </w:pPr>
            <w:r w:rsidRPr="005E3FFE">
              <w:rPr>
                <w:rFonts w:eastAsia="Calibri"/>
                <w:b/>
              </w:rPr>
              <w:t>Naudojama</w:t>
            </w:r>
          </w:p>
        </w:tc>
        <w:tc>
          <w:tcPr>
            <w:tcW w:w="1999" w:type="dxa"/>
            <w:vAlign w:val="center"/>
          </w:tcPr>
          <w:p w:rsidR="005E3FFE" w:rsidRPr="005E3FFE" w:rsidRDefault="005E3FFE" w:rsidP="005E3FFE">
            <w:pPr>
              <w:rPr>
                <w:rFonts w:eastAsia="Calibri"/>
                <w:b/>
              </w:rPr>
            </w:pPr>
            <w:r w:rsidRPr="005E3FFE">
              <w:rPr>
                <w:rFonts w:eastAsia="Calibri"/>
                <w:b/>
              </w:rPr>
              <w:t>Baseino zona</w:t>
            </w:r>
          </w:p>
        </w:tc>
        <w:tc>
          <w:tcPr>
            <w:tcW w:w="1999" w:type="dxa"/>
            <w:vAlign w:val="center"/>
          </w:tcPr>
          <w:p w:rsidR="005E3FFE" w:rsidRPr="005E3FFE" w:rsidRDefault="005E3FFE" w:rsidP="005E3FFE">
            <w:pPr>
              <w:rPr>
                <w:rFonts w:eastAsia="Calibri"/>
                <w:b/>
              </w:rPr>
            </w:pPr>
            <w:r w:rsidRPr="005E3FFE">
              <w:rPr>
                <w:rFonts w:eastAsia="Calibri"/>
                <w:b/>
              </w:rPr>
              <w:t>Takeliai</w:t>
            </w:r>
          </w:p>
        </w:tc>
        <w:tc>
          <w:tcPr>
            <w:tcW w:w="1999" w:type="dxa"/>
            <w:vAlign w:val="center"/>
          </w:tcPr>
          <w:p w:rsidR="005E3FFE" w:rsidRPr="005E3FFE" w:rsidRDefault="005E3FFE" w:rsidP="005E3FFE">
            <w:pPr>
              <w:rPr>
                <w:rFonts w:eastAsia="Calibri"/>
                <w:b/>
              </w:rPr>
            </w:pPr>
            <w:r w:rsidRPr="005E3FFE">
              <w:rPr>
                <w:rFonts w:eastAsia="Calibri"/>
                <w:b/>
              </w:rPr>
              <w:t>Sezonas</w:t>
            </w:r>
          </w:p>
        </w:tc>
        <w:tc>
          <w:tcPr>
            <w:tcW w:w="2000" w:type="dxa"/>
            <w:vAlign w:val="center"/>
          </w:tcPr>
          <w:p w:rsidR="005E3FFE" w:rsidRPr="005E3FFE" w:rsidRDefault="005E3FFE" w:rsidP="005E3FFE">
            <w:pPr>
              <w:rPr>
                <w:rFonts w:eastAsia="Calibri"/>
                <w:b/>
              </w:rPr>
            </w:pPr>
            <w:r w:rsidRPr="005E3FFE">
              <w:rPr>
                <w:rFonts w:eastAsia="Calibri"/>
                <w:b/>
              </w:rPr>
              <w:t>Dienos per savaitę</w:t>
            </w:r>
          </w:p>
        </w:tc>
        <w:tc>
          <w:tcPr>
            <w:tcW w:w="2000" w:type="dxa"/>
            <w:vAlign w:val="center"/>
          </w:tcPr>
          <w:p w:rsidR="005E3FFE" w:rsidRPr="005E3FFE" w:rsidRDefault="005E3FFE" w:rsidP="005E3FFE">
            <w:pPr>
              <w:rPr>
                <w:rFonts w:eastAsia="Calibri"/>
                <w:b/>
              </w:rPr>
            </w:pPr>
            <w:r w:rsidRPr="005E3FFE">
              <w:rPr>
                <w:rFonts w:eastAsia="Calibri"/>
                <w:b/>
              </w:rPr>
              <w:t>Valandos per dieną*</w:t>
            </w:r>
          </w:p>
        </w:tc>
      </w:tr>
      <w:tr w:rsidR="005E3FFE" w:rsidRPr="005E3FFE" w:rsidTr="00AD448A">
        <w:tc>
          <w:tcPr>
            <w:tcW w:w="57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1.</w:t>
            </w:r>
          </w:p>
        </w:tc>
        <w:tc>
          <w:tcPr>
            <w:tcW w:w="2977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Antrokų mokymo plaukti programa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Pakeliamo dugno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4 (25 m ilgio)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Rugsėjo II-a savaitė – gegužės pabaiga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5 (darbo dienos)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6 val.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8.00 – 14.00</w:t>
            </w:r>
          </w:p>
        </w:tc>
      </w:tr>
      <w:tr w:rsidR="005E3FFE" w:rsidRPr="005E3FFE" w:rsidTr="00AD448A">
        <w:tc>
          <w:tcPr>
            <w:tcW w:w="57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2.</w:t>
            </w:r>
          </w:p>
        </w:tc>
        <w:tc>
          <w:tcPr>
            <w:tcW w:w="2977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Senjorai ir neįgalieji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Pakeliamo dugno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4 (25 m ilgio)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Rugsėjo II-a savaitė – gegužės pabaiga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2 (darbo dienos)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2 val.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7.00 – 8.00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14.00 – 15.00</w:t>
            </w:r>
          </w:p>
        </w:tc>
      </w:tr>
      <w:tr w:rsidR="005E3FFE" w:rsidRPr="005E3FFE" w:rsidTr="00AD448A">
        <w:tc>
          <w:tcPr>
            <w:tcW w:w="570" w:type="dxa"/>
            <w:vMerge w:val="restart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3.</w:t>
            </w:r>
          </w:p>
        </w:tc>
        <w:tc>
          <w:tcPr>
            <w:tcW w:w="2977" w:type="dxa"/>
            <w:vMerge w:val="restart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Sportininkai</w:t>
            </w:r>
          </w:p>
        </w:tc>
        <w:tc>
          <w:tcPr>
            <w:tcW w:w="1999" w:type="dxa"/>
            <w:vMerge w:val="restart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Bet kuri zona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6 (50 m. ilgio)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11 mėn. per metus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3 (darbo dienos)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4,5 val.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16.00 – 20.30</w:t>
            </w:r>
          </w:p>
        </w:tc>
      </w:tr>
      <w:tr w:rsidR="005E3FFE" w:rsidRPr="005E3FFE" w:rsidTr="00AD448A">
        <w:tc>
          <w:tcPr>
            <w:tcW w:w="570" w:type="dxa"/>
            <w:vMerge/>
          </w:tcPr>
          <w:p w:rsidR="005E3FFE" w:rsidRPr="005E3FFE" w:rsidRDefault="005E3FFE" w:rsidP="005E3FFE">
            <w:pPr>
              <w:rPr>
                <w:rFonts w:eastAsia="Calibri"/>
              </w:rPr>
            </w:pPr>
          </w:p>
        </w:tc>
        <w:tc>
          <w:tcPr>
            <w:tcW w:w="2977" w:type="dxa"/>
            <w:vMerge/>
          </w:tcPr>
          <w:p w:rsidR="005E3FFE" w:rsidRPr="005E3FFE" w:rsidRDefault="005E3FFE" w:rsidP="005E3FFE">
            <w:pPr>
              <w:rPr>
                <w:rFonts w:eastAsia="Calibri"/>
              </w:rPr>
            </w:pPr>
          </w:p>
        </w:tc>
        <w:tc>
          <w:tcPr>
            <w:tcW w:w="1999" w:type="dxa"/>
            <w:vMerge/>
          </w:tcPr>
          <w:p w:rsidR="005E3FFE" w:rsidRPr="005E3FFE" w:rsidRDefault="005E3FFE" w:rsidP="005E3FFE">
            <w:pPr>
              <w:rPr>
                <w:rFonts w:eastAsia="Calibri"/>
              </w:rPr>
            </w:pP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3 (50 m. ilgio)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3 (25 m. ilgio)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11 mėn. per metus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2 (darbo dienos)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4,5 val.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16.00 – 20.30</w:t>
            </w:r>
          </w:p>
        </w:tc>
      </w:tr>
      <w:tr w:rsidR="005E3FFE" w:rsidRPr="005E3FFE" w:rsidTr="00AD448A">
        <w:tc>
          <w:tcPr>
            <w:tcW w:w="570" w:type="dxa"/>
            <w:vMerge/>
          </w:tcPr>
          <w:p w:rsidR="005E3FFE" w:rsidRPr="005E3FFE" w:rsidRDefault="005E3FFE" w:rsidP="005E3FFE">
            <w:pPr>
              <w:rPr>
                <w:rFonts w:eastAsia="Calibri"/>
              </w:rPr>
            </w:pPr>
          </w:p>
        </w:tc>
        <w:tc>
          <w:tcPr>
            <w:tcW w:w="2977" w:type="dxa"/>
            <w:vMerge/>
          </w:tcPr>
          <w:p w:rsidR="005E3FFE" w:rsidRPr="005E3FFE" w:rsidRDefault="005E3FFE" w:rsidP="005E3FFE">
            <w:pPr>
              <w:rPr>
                <w:rFonts w:eastAsia="Calibri"/>
              </w:rPr>
            </w:pPr>
          </w:p>
        </w:tc>
        <w:tc>
          <w:tcPr>
            <w:tcW w:w="1999" w:type="dxa"/>
            <w:vMerge/>
          </w:tcPr>
          <w:p w:rsidR="005E3FFE" w:rsidRPr="005E3FFE" w:rsidRDefault="005E3FFE" w:rsidP="005E3FFE">
            <w:pPr>
              <w:rPr>
                <w:rFonts w:eastAsia="Calibri"/>
              </w:rPr>
            </w:pP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5 (50 m. ilgio)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3 (25 m. ilgio)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11 mėn. per metus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 (šeštadienis)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4,5 val.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8.00 – 12.30</w:t>
            </w:r>
          </w:p>
        </w:tc>
      </w:tr>
      <w:tr w:rsidR="005E3FFE" w:rsidRPr="005E3FFE" w:rsidTr="00AD448A">
        <w:tc>
          <w:tcPr>
            <w:tcW w:w="570" w:type="dxa"/>
            <w:vMerge/>
          </w:tcPr>
          <w:p w:rsidR="005E3FFE" w:rsidRPr="005E3FFE" w:rsidRDefault="005E3FFE" w:rsidP="005E3FFE">
            <w:pPr>
              <w:rPr>
                <w:rFonts w:eastAsia="Calibri"/>
              </w:rPr>
            </w:pPr>
          </w:p>
        </w:tc>
        <w:tc>
          <w:tcPr>
            <w:tcW w:w="2977" w:type="dxa"/>
            <w:vMerge/>
          </w:tcPr>
          <w:p w:rsidR="005E3FFE" w:rsidRPr="005E3FFE" w:rsidRDefault="005E3FFE" w:rsidP="005E3FFE">
            <w:pPr>
              <w:rPr>
                <w:rFonts w:eastAsia="Calibri"/>
              </w:rPr>
            </w:pP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Treniruoklių salė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jc w:val="center"/>
              <w:rPr>
                <w:rFonts w:eastAsia="Calibri"/>
              </w:rPr>
            </w:pPr>
            <w:r w:rsidRPr="005E3FFE">
              <w:rPr>
                <w:rFonts w:eastAsia="Calibri"/>
              </w:rPr>
              <w:t>–––––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11 mėn. per metus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5 (darbo dienos)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3,5 val.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15.30 – 19.00</w:t>
            </w:r>
          </w:p>
        </w:tc>
      </w:tr>
      <w:tr w:rsidR="005E3FFE" w:rsidRPr="005E3FFE" w:rsidTr="00AD448A">
        <w:tc>
          <w:tcPr>
            <w:tcW w:w="57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4.</w:t>
            </w:r>
          </w:p>
        </w:tc>
        <w:tc>
          <w:tcPr>
            <w:tcW w:w="2977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Plaukimo veteranų rinktinė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Bet kuri zona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2 (50 m. ilgio)</w:t>
            </w:r>
          </w:p>
        </w:tc>
        <w:tc>
          <w:tcPr>
            <w:tcW w:w="1999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10 mėn. per metus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 xml:space="preserve">3 </w:t>
            </w:r>
          </w:p>
        </w:tc>
        <w:tc>
          <w:tcPr>
            <w:tcW w:w="2000" w:type="dxa"/>
          </w:tcPr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2 val.</w:t>
            </w:r>
          </w:p>
          <w:p w:rsidR="005E3FFE" w:rsidRPr="005E3FFE" w:rsidRDefault="005E3FFE" w:rsidP="005E3FFE">
            <w:pPr>
              <w:rPr>
                <w:rFonts w:eastAsia="Calibri"/>
              </w:rPr>
            </w:pPr>
            <w:r w:rsidRPr="005E3FFE">
              <w:rPr>
                <w:rFonts w:eastAsia="Calibri"/>
              </w:rPr>
              <w:t>20.00 – 22.00</w:t>
            </w:r>
          </w:p>
        </w:tc>
      </w:tr>
    </w:tbl>
    <w:p w:rsidR="005E3FFE" w:rsidRPr="005E3FFE" w:rsidRDefault="005E3FFE" w:rsidP="005E3FF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* apmokestinamos Pasiūlyme nurodytu „Įkainiu už naudojimąsi objektu Minimaliomis Baseino paslaugomis“ (</w:t>
      </w:r>
      <w:r w:rsidRPr="005E3FFE">
        <w:rPr>
          <w:rFonts w:ascii="Times New Roman" w:eastAsia="Calibri" w:hAnsi="Times New Roman" w:cs="Times New Roman"/>
          <w:i/>
          <w:sz w:val="24"/>
          <w:szCs w:val="24"/>
        </w:rPr>
        <w:t>Siūlomas valandinis Suteikiančiosios institucijos mokėjimas (įkainis) už naudojimąsi vienu baseino taku Minimalioms Baseino paslaugomis</w:t>
      </w:r>
      <w:r w:rsidRPr="005E3FFE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3FFE">
        <w:rPr>
          <w:rFonts w:ascii="Times New Roman" w:eastAsia="Calibri" w:hAnsi="Times New Roman" w:cs="Times New Roman"/>
          <w:b/>
          <w:sz w:val="24"/>
          <w:szCs w:val="24"/>
        </w:rPr>
        <w:t xml:space="preserve">Minimalios Baseino paslaugos apima: 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tinkamai funkcionuojančio 50 m baseino tako prieinamumą lentelėje nurodytam laikui su papildomai neapmokestinama lankytojo 30 min. nusiprausimui ir persirengimui / iki 12 žmonių grupei bei ją lydintiems asmenims (iki 3);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dušo patalpų prieinamumą nurodytai asmenų grupei;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persirengimo patalpų prieinamumas nurodytai asmenų grupei;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gelbėtojo paslaugos prieinamumas nurodytai asmenų grupei;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kitų baseino tinkamam naudojimui būtinų patalpų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naudojantis (sportininkams) treniruoklių sale– lentelėje nurodytam laikui treniruoklių salės patalpų prieinamumas.</w:t>
      </w: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3FFE">
        <w:rPr>
          <w:rFonts w:ascii="Times New Roman" w:eastAsia="Calibri" w:hAnsi="Times New Roman" w:cs="Times New Roman"/>
          <w:b/>
          <w:sz w:val="24"/>
          <w:szCs w:val="24"/>
        </w:rPr>
        <w:t>Garantuojamas Baseino paslaugų pirkimas:</w:t>
      </w: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Suteikiančioji įsipareigoja nupirkti:</w:t>
      </w:r>
    </w:p>
    <w:p w:rsidR="005E3FFE" w:rsidRPr="005E3FFE" w:rsidRDefault="005E3FFE" w:rsidP="005E3FFE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 xml:space="preserve">mažiausiai aukščiau nurodytos Minimalių Baseino paslaugų poreikio lentelės pirmoje skiltyje „Antrokų mokymo plaukti programa“ identifikuotas valandas ir </w:t>
      </w:r>
    </w:p>
    <w:p w:rsidR="005E3FFE" w:rsidRPr="005E3FFE" w:rsidRDefault="005E3FFE" w:rsidP="005E3FFE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ne mažiau kaip 50 procentų lentelės antroje-ketvirtoje skiltyse „Senjorai ir neįgalieji“/ „Sportininkai“ / „Plaukimo veteranų rinktinė“ identifikuotų valandų.</w:t>
      </w: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Likusiais laikais Paslaugų pirkimas nėra garantuojamas.</w:t>
      </w: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3FFE">
        <w:rPr>
          <w:rFonts w:ascii="Times New Roman" w:eastAsia="Calibri" w:hAnsi="Times New Roman" w:cs="Times New Roman"/>
          <w:b/>
          <w:sz w:val="24"/>
          <w:szCs w:val="24"/>
        </w:rPr>
        <w:t>Nemokamų*</w:t>
      </w:r>
      <w:r w:rsidRPr="005E3FFE">
        <w:rPr>
          <w:rFonts w:ascii="Times New Roman" w:eastAsia="Calibri" w:hAnsi="Times New Roman" w:cs="Times New Roman"/>
          <w:b/>
          <w:sz w:val="24"/>
          <w:szCs w:val="24"/>
          <w:lang w:val="en-GB"/>
        </w:rPr>
        <w:t>*</w:t>
      </w:r>
      <w:r w:rsidRPr="005E3FFE">
        <w:rPr>
          <w:rFonts w:ascii="Times New Roman" w:eastAsia="Calibri" w:hAnsi="Times New Roman" w:cs="Times New Roman"/>
          <w:b/>
          <w:sz w:val="24"/>
          <w:szCs w:val="24"/>
        </w:rPr>
        <w:t xml:space="preserve"> dienų poreikis savivaldybės renginiams:</w:t>
      </w: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10 (dešimt) dienų per kalendorinius metus</w:t>
      </w:r>
    </w:p>
    <w:p w:rsidR="005E3FFE" w:rsidRPr="005E3FFE" w:rsidRDefault="005E3FFE" w:rsidP="005E3FFE">
      <w:pPr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** nemokamai suteikiamos Baseino paslaugos pagal iš anksto suderintą renginių grafiką</w:t>
      </w:r>
    </w:p>
    <w:p w:rsidR="005E3FFE" w:rsidRPr="005E3FFE" w:rsidRDefault="005E3FFE" w:rsidP="005E3FFE">
      <w:pPr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3FFE">
        <w:rPr>
          <w:rFonts w:ascii="Times New Roman" w:eastAsia="Calibri" w:hAnsi="Times New Roman" w:cs="Times New Roman"/>
          <w:b/>
          <w:sz w:val="24"/>
          <w:szCs w:val="24"/>
        </w:rPr>
        <w:t xml:space="preserve">Nemokamos Baseino paslaugos savivaldybės renginiams apima: 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 xml:space="preserve">tinkamai funkcionuojančio 50 m baseino visų </w:t>
      </w:r>
      <w:r w:rsidRPr="005E3FF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10 </w:t>
      </w:r>
      <w:r w:rsidRPr="005E3FFE">
        <w:rPr>
          <w:rFonts w:ascii="Times New Roman" w:eastAsia="Calibri" w:hAnsi="Times New Roman" w:cs="Times New Roman"/>
          <w:sz w:val="24"/>
          <w:szCs w:val="24"/>
        </w:rPr>
        <w:t xml:space="preserve">takų prieinamumą iki </w:t>
      </w:r>
      <w:r w:rsidRPr="005E3FFE">
        <w:rPr>
          <w:rFonts w:ascii="Times New Roman" w:eastAsia="Calibri" w:hAnsi="Times New Roman" w:cs="Times New Roman"/>
          <w:sz w:val="24"/>
          <w:szCs w:val="24"/>
          <w:lang w:val="en-GB"/>
        </w:rPr>
        <w:t>10 val. renginio di</w:t>
      </w:r>
      <w:r w:rsidRPr="005E3FFE">
        <w:rPr>
          <w:rFonts w:ascii="Times New Roman" w:eastAsia="Calibri" w:hAnsi="Times New Roman" w:cs="Times New Roman"/>
          <w:sz w:val="24"/>
          <w:szCs w:val="24"/>
          <w:lang w:val="en-US"/>
        </w:rPr>
        <w:t>en</w:t>
      </w:r>
      <w:r w:rsidRPr="005E3FFE">
        <w:rPr>
          <w:rFonts w:ascii="Times New Roman" w:eastAsia="Calibri" w:hAnsi="Times New Roman" w:cs="Times New Roman"/>
          <w:sz w:val="24"/>
          <w:szCs w:val="24"/>
        </w:rPr>
        <w:t>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dušo patalpų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persirengimo patalpų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12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 xml:space="preserve">gelbėtojo paslaugos prieinamumą; 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12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žiūrovų tribūnų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kitų baseino tinkamam naudojimui būtinų patalpų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baseino ir treniruoklių įrangos (2 priedas) prieinamumą, įskaitant, bet neapsiribojant, papildomai neapmokestinamas šios įrangos prieinamumas renginių metu: elektroninė laiko fiksavimo sistema; įgarsinimas; plaukimo varžyboms reikalinga įranga, kuri turi būti parengta varžyboms.</w:t>
      </w:r>
    </w:p>
    <w:p w:rsidR="005E3FFE" w:rsidRPr="005E3FFE" w:rsidRDefault="005E3FFE" w:rsidP="005E3FFE">
      <w:pPr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3FFE">
        <w:rPr>
          <w:rFonts w:ascii="Times New Roman" w:eastAsia="Calibri" w:hAnsi="Times New Roman" w:cs="Times New Roman"/>
          <w:b/>
          <w:sz w:val="24"/>
          <w:szCs w:val="24"/>
        </w:rPr>
        <w:t>Papildomų*** Baseino paslaugų poreikis:</w:t>
      </w: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lastRenderedPageBreak/>
        <w:t>Lietuvos plaukimo federacijos (LPF) renginiams – iki 6 (šešių) dienų per kalendorinius metus; pagal pasirenkamojo ugdymo programą finansuojamų</w:t>
      </w:r>
      <w:r w:rsidRPr="005E3FFE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5E3FFE">
        <w:rPr>
          <w:rFonts w:ascii="Times New Roman" w:eastAsia="Calibri" w:hAnsi="Times New Roman" w:cs="Times New Roman"/>
          <w:sz w:val="24"/>
          <w:szCs w:val="24"/>
        </w:rPr>
        <w:t xml:space="preserve"> mokinių ugdymą vykdančių juridinių asmenų poreikiams – neapibrėžtas val. kiekis;</w:t>
      </w:r>
    </w:p>
    <w:p w:rsidR="005E3FFE" w:rsidRPr="005E3FFE" w:rsidRDefault="005E3FFE" w:rsidP="005E3FF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*** apmokestinamos Pasiūlyme nurodytu papildomu „Įkainiu už naudojimąsi objektu Papildomas Baseino paslaugas“ (</w:t>
      </w:r>
      <w:r w:rsidRPr="005E3FFE">
        <w:rPr>
          <w:rFonts w:ascii="Times New Roman" w:eastAsia="Calibri" w:hAnsi="Times New Roman" w:cs="Times New Roman"/>
          <w:i/>
          <w:sz w:val="24"/>
          <w:szCs w:val="24"/>
        </w:rPr>
        <w:t>Siūlomas valandinis Suteikiančiosios institucijos mokėjimas (įkainis) už naudojimąsi vienu baseino taku Papildomoms Baseino paslaugoms</w:t>
      </w:r>
      <w:r w:rsidRPr="005E3FF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3FFE" w:rsidRPr="005E3FFE" w:rsidRDefault="005E3FFE" w:rsidP="005E3FFE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3FFE">
        <w:rPr>
          <w:rFonts w:ascii="Times New Roman" w:eastAsia="Calibri" w:hAnsi="Times New Roman" w:cs="Times New Roman"/>
          <w:b/>
          <w:sz w:val="24"/>
          <w:szCs w:val="24"/>
        </w:rPr>
        <w:t xml:space="preserve">Papildomų Baseino paslaugos apima: 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tinkamai funkcionuojančio 50 m baseino visų 10 takų prieinamumą iki 10 val. renginio dieną;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dušo patalpų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persirengimo patalpų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12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 xml:space="preserve">gelbėtojo paslaugos prieinamumą; 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12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žiūrovų tribūnų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kitų baseino tinkamam naudojimui būtinų patalpų prieinamumą;</w:t>
      </w:r>
    </w:p>
    <w:p w:rsidR="005E3FFE" w:rsidRPr="005E3FFE" w:rsidRDefault="005E3FFE" w:rsidP="005E3FFE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FFE">
        <w:rPr>
          <w:rFonts w:ascii="Times New Roman" w:eastAsia="Calibri" w:hAnsi="Times New Roman" w:cs="Times New Roman"/>
          <w:sz w:val="24"/>
          <w:szCs w:val="24"/>
        </w:rPr>
        <w:t>baseino ir treniruoklių įrangos (2 priedas) prieinamumą, įskaitant, bet neapsiribojant, papildomai neapmokestinamas šios įrangos prieinamumas renginių metu: elektroninė laiko fiksavimo sistema; įgarsinimas; plaukimo varžyboms reikalinga įranga, kuri turi būti parengta varžyboms.</w:t>
      </w:r>
    </w:p>
    <w:p w:rsidR="005E3FFE" w:rsidRPr="005E3FFE" w:rsidRDefault="005E3FFE" w:rsidP="005E3FF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005" w:rsidRDefault="00350E06"/>
    <w:sectPr w:rsidR="00693005" w:rsidSect="004519ED">
      <w:pgSz w:w="16838" w:h="11906" w:orient="landscape"/>
      <w:pgMar w:top="1418" w:right="1418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FFE" w:rsidRDefault="005E3FFE" w:rsidP="005E3FFE">
      <w:pPr>
        <w:spacing w:after="0" w:line="240" w:lineRule="auto"/>
      </w:pPr>
      <w:r>
        <w:separator/>
      </w:r>
    </w:p>
  </w:endnote>
  <w:endnote w:type="continuationSeparator" w:id="0">
    <w:p w:rsidR="005E3FFE" w:rsidRDefault="005E3FFE" w:rsidP="005E3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FFE" w:rsidRDefault="005E3FFE" w:rsidP="005E3FFE">
      <w:pPr>
        <w:spacing w:after="0" w:line="240" w:lineRule="auto"/>
      </w:pPr>
      <w:r>
        <w:separator/>
      </w:r>
    </w:p>
  </w:footnote>
  <w:footnote w:type="continuationSeparator" w:id="0">
    <w:p w:rsidR="005E3FFE" w:rsidRDefault="005E3FFE" w:rsidP="005E3FFE">
      <w:pPr>
        <w:spacing w:after="0" w:line="240" w:lineRule="auto"/>
      </w:pPr>
      <w:r>
        <w:continuationSeparator/>
      </w:r>
    </w:p>
  </w:footnote>
  <w:footnote w:id="1">
    <w:p w:rsidR="005E3FFE" w:rsidRDefault="005E3FFE" w:rsidP="005E3FFE">
      <w:pPr>
        <w:pStyle w:val="Puslapioinaostekstas"/>
      </w:pPr>
      <w:r>
        <w:rPr>
          <w:rStyle w:val="Puslapioinaosnuoroda"/>
        </w:rPr>
        <w:footnoteRef/>
      </w:r>
      <w:r>
        <w:t xml:space="preserve"> Pasiūlyme nurodytu </w:t>
      </w:r>
      <w:r w:rsidRPr="00E2373D">
        <w:t>„Siūlom</w:t>
      </w:r>
      <w:r>
        <w:t>u</w:t>
      </w:r>
      <w:r w:rsidRPr="00E2373D">
        <w:t xml:space="preserve"> valandin</w:t>
      </w:r>
      <w:r>
        <w:t>iu</w:t>
      </w:r>
      <w:r w:rsidRPr="00E2373D">
        <w:t xml:space="preserve"> Suteikiančiosios institucijos mokėjim</w:t>
      </w:r>
      <w:r>
        <w:t>u</w:t>
      </w:r>
      <w:r w:rsidRPr="00E2373D">
        <w:t xml:space="preserve"> (įkain</w:t>
      </w:r>
      <w:r>
        <w:t>iu</w:t>
      </w:r>
      <w:r w:rsidRPr="00E2373D">
        <w:t xml:space="preserve">) už naudojimąsi vienu baseino taku </w:t>
      </w:r>
      <w:r>
        <w:t>Papildomoms Baseino paslaugoms</w:t>
      </w:r>
      <w:r w:rsidRPr="00E2373D">
        <w:t>“</w:t>
      </w:r>
      <w:r>
        <w:t xml:space="preserve"> kartu su Lietuvos plaukimo federacija gali naudotis tik juridiniai asmenys, gaunantys finansavimą pagal </w:t>
      </w:r>
      <w:r w:rsidRPr="00E2373D">
        <w:t>Klaipėdos miesto savivaldybės tarybos 2013 m. spalio 24 d. sprendimu  Nr. T2-265 patvirtintą „Klaipėdos miesto pasirenkamojo vaikų ugdymo programų, finansuojamų iš sportininko krepšelio lėšų, tvarkos aprašą“</w:t>
      </w:r>
      <w:r>
        <w:t xml:space="preserve"> ar jį keičiantį teisės aktą.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AE4B70"/>
    <w:multiLevelType w:val="hybridMultilevel"/>
    <w:tmpl w:val="6DCA3EE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F43E17"/>
    <w:multiLevelType w:val="hybridMultilevel"/>
    <w:tmpl w:val="7C347282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FE"/>
    <w:rsid w:val="00350E06"/>
    <w:rsid w:val="004673A1"/>
    <w:rsid w:val="005E3FFE"/>
    <w:rsid w:val="00C7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747F"/>
  <w15:chartTrackingRefBased/>
  <w15:docId w15:val="{9E45488C-AF83-469D-8568-18031D08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5E3FF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aliases w:val="Car,Footnote Text Blue,Footnote, Char,Char"/>
    <w:basedOn w:val="prastasis"/>
    <w:link w:val="PuslapioinaostekstasDiagrama"/>
    <w:uiPriority w:val="99"/>
    <w:unhideWhenUsed/>
    <w:rsid w:val="005E3FF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Car Diagrama,Footnote Text Blue Diagrama,Footnote Diagrama, Char Diagrama,Char Diagrama"/>
    <w:basedOn w:val="Numatytasispastraiposriftas"/>
    <w:link w:val="Puslapioinaostekstas"/>
    <w:uiPriority w:val="99"/>
    <w:rsid w:val="005E3FFE"/>
    <w:rPr>
      <w:rFonts w:ascii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E3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2633</Words>
  <Characters>1502</Characters>
  <Application>Microsoft Office Word</Application>
  <DocSecurity>4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Klaipėdos miesto savivaldybės administracija</Company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Skuodaite</dc:creator>
  <cp:lastModifiedBy>Virginija Palaimiene</cp:lastModifiedBy>
  <cp:revision>2</cp:revision>
  <dcterms:created xsi:type="dcterms:W3CDTF">2018-07-12T05:54:00Z</dcterms:created>
  <dcterms:modified xsi:type="dcterms:W3CDTF">2018-07-12T05:54:00Z</dcterms:modified>
</cp:coreProperties>
</file>