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16" w:rsidRPr="007C463A" w:rsidRDefault="009B13EE" w:rsidP="00085947">
      <w:pPr>
        <w:jc w:val="center"/>
        <w:rPr>
          <w:b/>
          <w:bCs/>
        </w:rPr>
      </w:pPr>
      <w:bookmarkStart w:id="0" w:name="_GoBack"/>
      <w:bookmarkEnd w:id="0"/>
      <w:r w:rsidRPr="007C463A">
        <w:rPr>
          <w:b/>
          <w:bCs/>
        </w:rPr>
        <w:t xml:space="preserve"> </w:t>
      </w:r>
      <w:r w:rsidR="00F94F16" w:rsidRPr="007C463A">
        <w:rPr>
          <w:b/>
          <w:bCs/>
        </w:rPr>
        <w:t xml:space="preserve">AIŠKINAMASIS RAŠTAS </w:t>
      </w:r>
    </w:p>
    <w:p w:rsidR="00F94F16" w:rsidRPr="007C463A" w:rsidRDefault="00F94F16" w:rsidP="00085947">
      <w:pPr>
        <w:pStyle w:val="Pagrindiniotekstotrauka"/>
        <w:ind w:firstLine="0"/>
        <w:jc w:val="center"/>
      </w:pPr>
    </w:p>
    <w:p w:rsidR="00F94F16" w:rsidRPr="007C463A" w:rsidRDefault="00F94F16" w:rsidP="00085947">
      <w:pPr>
        <w:ind w:firstLine="720"/>
        <w:jc w:val="both"/>
        <w:rPr>
          <w:b/>
        </w:rPr>
      </w:pPr>
      <w:r w:rsidRPr="007C463A">
        <w:rPr>
          <w:b/>
        </w:rPr>
        <w:t>1. Sprendimo projekto esmė, tikslai ir uždaviniai.</w:t>
      </w:r>
    </w:p>
    <w:p w:rsidR="00F94F16" w:rsidRPr="007C463A" w:rsidRDefault="009B5C09" w:rsidP="00085947">
      <w:pPr>
        <w:ind w:firstLine="720"/>
        <w:jc w:val="both"/>
        <w:outlineLvl w:val="0"/>
      </w:pPr>
      <w:r w:rsidRPr="007C463A">
        <w:t>Parengta ir teikiama</w:t>
      </w:r>
      <w:r w:rsidR="00F94F16" w:rsidRPr="007C463A">
        <w:t xml:space="preserve"> Klaipėdos miesto savivaldybės tarybai tvirtinti </w:t>
      </w:r>
      <w:r w:rsidR="00F94F16" w:rsidRPr="007C463A">
        <w:rPr>
          <w:bCs/>
        </w:rPr>
        <w:t>Klaipėdos mies</w:t>
      </w:r>
      <w:r w:rsidR="00BD10E3" w:rsidRPr="007C463A">
        <w:rPr>
          <w:bCs/>
        </w:rPr>
        <w:t>to plėtros strateginio plano 2013–2020</w:t>
      </w:r>
      <w:r w:rsidR="00F94F16" w:rsidRPr="007C463A">
        <w:rPr>
          <w:bCs/>
        </w:rPr>
        <w:t xml:space="preserve"> metų </w:t>
      </w:r>
      <w:r w:rsidR="00F94F16" w:rsidRPr="007C463A">
        <w:t xml:space="preserve">(toliau </w:t>
      </w:r>
      <w:r w:rsidR="00B847F7" w:rsidRPr="007C463A">
        <w:t xml:space="preserve">tekste </w:t>
      </w:r>
      <w:r w:rsidR="00F94F16" w:rsidRPr="007C463A">
        <w:t>– KSP)</w:t>
      </w:r>
      <w:r w:rsidR="00F94F16" w:rsidRPr="007C463A">
        <w:rPr>
          <w:bCs/>
        </w:rPr>
        <w:t xml:space="preserve"> įgyvendinimo 20</w:t>
      </w:r>
      <w:r w:rsidR="005A73D3" w:rsidRPr="007C463A">
        <w:rPr>
          <w:bCs/>
        </w:rPr>
        <w:t>1</w:t>
      </w:r>
      <w:r w:rsidR="001A5615" w:rsidRPr="007C463A">
        <w:rPr>
          <w:bCs/>
        </w:rPr>
        <w:t>7</w:t>
      </w:r>
      <w:r w:rsidR="00DB3FE1" w:rsidRPr="007C463A">
        <w:rPr>
          <w:bCs/>
        </w:rPr>
        <w:t xml:space="preserve"> </w:t>
      </w:r>
      <w:r w:rsidR="00F94F16" w:rsidRPr="007C463A">
        <w:rPr>
          <w:bCs/>
        </w:rPr>
        <w:t>m. ataskait</w:t>
      </w:r>
      <w:r w:rsidRPr="007C463A">
        <w:rPr>
          <w:bCs/>
        </w:rPr>
        <w:t>a</w:t>
      </w:r>
      <w:r w:rsidR="00F94F16" w:rsidRPr="007C463A">
        <w:rPr>
          <w:bCs/>
        </w:rPr>
        <w:t>.</w:t>
      </w:r>
      <w:r w:rsidR="00F94F16" w:rsidRPr="007C463A">
        <w:t xml:space="preserve"> </w:t>
      </w:r>
    </w:p>
    <w:p w:rsidR="00F94F16" w:rsidRPr="007C463A" w:rsidRDefault="00F94F16" w:rsidP="00085947">
      <w:pPr>
        <w:ind w:firstLine="720"/>
        <w:jc w:val="both"/>
        <w:outlineLvl w:val="0"/>
      </w:pPr>
      <w:r w:rsidRPr="007C463A">
        <w:t>Vadovau</w:t>
      </w:r>
      <w:r w:rsidR="00B547A3" w:rsidRPr="007C463A">
        <w:t xml:space="preserve">jantis </w:t>
      </w:r>
      <w:r w:rsidR="009B5C09" w:rsidRPr="007C463A">
        <w:t>201</w:t>
      </w:r>
      <w:r w:rsidR="001A5615" w:rsidRPr="007C463A">
        <w:t>6</w:t>
      </w:r>
      <w:r w:rsidRPr="007C463A">
        <w:t xml:space="preserve"> m. </w:t>
      </w:r>
      <w:r w:rsidR="001A5615" w:rsidRPr="007C463A">
        <w:t>birželio</w:t>
      </w:r>
      <w:r w:rsidRPr="007C463A">
        <w:t xml:space="preserve"> </w:t>
      </w:r>
      <w:r w:rsidR="009B5C09" w:rsidRPr="007C463A">
        <w:t>2</w:t>
      </w:r>
      <w:r w:rsidR="001A5615" w:rsidRPr="007C463A">
        <w:t>3</w:t>
      </w:r>
      <w:r w:rsidRPr="007C463A">
        <w:t xml:space="preserve"> d. sprendimu Nr. T2-</w:t>
      </w:r>
      <w:r w:rsidR="001A5615" w:rsidRPr="007C463A">
        <w:t>157</w:t>
      </w:r>
      <w:r w:rsidRPr="007C463A">
        <w:t xml:space="preserve"> patvirtinta Klaipėdos miesto plėtros strateginio plano </w:t>
      </w:r>
      <w:r w:rsidR="00DB3FE1" w:rsidRPr="007C463A">
        <w:t xml:space="preserve">priežiūros </w:t>
      </w:r>
      <w:r w:rsidR="00B547A3" w:rsidRPr="007C463A">
        <w:t>metodika</w:t>
      </w:r>
      <w:r w:rsidRPr="007C463A">
        <w:t xml:space="preserve">, </w:t>
      </w:r>
      <w:r w:rsidR="00B547A3" w:rsidRPr="007C463A">
        <w:t>atlikta</w:t>
      </w:r>
      <w:r w:rsidRPr="007C463A">
        <w:t xml:space="preserve"> KSP įgyvendinimo 20</w:t>
      </w:r>
      <w:r w:rsidR="005A73D3" w:rsidRPr="007C463A">
        <w:t>1</w:t>
      </w:r>
      <w:r w:rsidR="001A5615" w:rsidRPr="007C463A">
        <w:t>7</w:t>
      </w:r>
      <w:r w:rsidR="006E0AC6" w:rsidRPr="007C463A">
        <w:t xml:space="preserve"> </w:t>
      </w:r>
      <w:r w:rsidRPr="007C463A">
        <w:t>m. stebėsen</w:t>
      </w:r>
      <w:r w:rsidR="00B547A3" w:rsidRPr="007C463A">
        <w:t>a</w:t>
      </w:r>
      <w:r w:rsidRPr="007C463A">
        <w:t xml:space="preserve"> – surink</w:t>
      </w:r>
      <w:r w:rsidR="00B547A3" w:rsidRPr="007C463A">
        <w:t>ti</w:t>
      </w:r>
      <w:r w:rsidRPr="007C463A">
        <w:t xml:space="preserve"> duomen</w:t>
      </w:r>
      <w:r w:rsidR="00B547A3" w:rsidRPr="007C463A">
        <w:t>y</w:t>
      </w:r>
      <w:r w:rsidRPr="007C463A">
        <w:t xml:space="preserve">s iš KSP </w:t>
      </w:r>
      <w:r w:rsidR="00B547A3" w:rsidRPr="007C463A">
        <w:t xml:space="preserve">dalių </w:t>
      </w:r>
      <w:r w:rsidRPr="007C463A">
        <w:t>vykdytojų, atlik</w:t>
      </w:r>
      <w:r w:rsidR="00B547A3" w:rsidRPr="007C463A">
        <w:t>ta</w:t>
      </w:r>
      <w:r w:rsidRPr="007C463A">
        <w:t xml:space="preserve"> plano</w:t>
      </w:r>
      <w:r w:rsidR="00B547A3" w:rsidRPr="007C463A">
        <w:t xml:space="preserve"> </w:t>
      </w:r>
      <w:r w:rsidRPr="007C463A">
        <w:t xml:space="preserve"> įgyvendinimo</w:t>
      </w:r>
      <w:r w:rsidR="00B547A3" w:rsidRPr="007C463A">
        <w:t xml:space="preserve"> pažangos</w:t>
      </w:r>
      <w:r w:rsidRPr="007C463A">
        <w:t xml:space="preserve"> analiz</w:t>
      </w:r>
      <w:r w:rsidR="00B547A3" w:rsidRPr="007C463A">
        <w:t>ė</w:t>
      </w:r>
      <w:r w:rsidRPr="007C463A">
        <w:t xml:space="preserve"> ir </w:t>
      </w:r>
      <w:r w:rsidR="00B547A3" w:rsidRPr="007C463A">
        <w:t>surinkti</w:t>
      </w:r>
      <w:r w:rsidRPr="007C463A">
        <w:t xml:space="preserve"> </w:t>
      </w:r>
      <w:r w:rsidR="00B547A3" w:rsidRPr="007C463A">
        <w:t xml:space="preserve">duomenys apie </w:t>
      </w:r>
      <w:r w:rsidRPr="007C463A">
        <w:t>kiekybinių</w:t>
      </w:r>
      <w:r w:rsidR="00DB3FE1" w:rsidRPr="007C463A">
        <w:t xml:space="preserve"> bei kokybinių</w:t>
      </w:r>
      <w:r w:rsidRPr="007C463A">
        <w:t xml:space="preserve"> vizijos, </w:t>
      </w:r>
      <w:r w:rsidR="00B547A3" w:rsidRPr="007C463A">
        <w:t xml:space="preserve">tikslų, uždavinių ir priemonių </w:t>
      </w:r>
      <w:r w:rsidRPr="007C463A">
        <w:t xml:space="preserve">rodiklių pasiekimo lygį. </w:t>
      </w:r>
      <w:r w:rsidR="00B547A3" w:rsidRPr="007C463A">
        <w:t>Priemonių</w:t>
      </w:r>
      <w:r w:rsidRPr="007C463A">
        <w:t xml:space="preserve"> rodiklių pagalba kontroliuo</w:t>
      </w:r>
      <w:r w:rsidR="00DB3FE1" w:rsidRPr="007C463A">
        <w:t xml:space="preserve">jamas KSP </w:t>
      </w:r>
      <w:r w:rsidR="00B547A3" w:rsidRPr="007C463A">
        <w:t>priemonių</w:t>
      </w:r>
      <w:r w:rsidR="00DB3FE1" w:rsidRPr="007C463A">
        <w:t xml:space="preserve"> įgyvendinimas, o analizuojant </w:t>
      </w:r>
      <w:r w:rsidR="00B547A3" w:rsidRPr="007C463A">
        <w:t>vizijos, tikslų ir uždavinių</w:t>
      </w:r>
      <w:r w:rsidR="00DB3FE1" w:rsidRPr="007C463A">
        <w:t xml:space="preserve"> rodiklių reikšmes </w:t>
      </w:r>
      <w:r w:rsidRPr="007C463A">
        <w:t xml:space="preserve">įvertinamas </w:t>
      </w:r>
      <w:r w:rsidR="00B547A3" w:rsidRPr="007C463A">
        <w:t xml:space="preserve">įgyvendinamų priemonių </w:t>
      </w:r>
      <w:r w:rsidRPr="007C463A">
        <w:t xml:space="preserve">poveikis </w:t>
      </w:r>
      <w:r w:rsidR="00B547A3" w:rsidRPr="007C463A">
        <w:t>atskiroms miesto sritims</w:t>
      </w:r>
      <w:r w:rsidRPr="007C463A">
        <w:t xml:space="preserve">. </w:t>
      </w:r>
    </w:p>
    <w:p w:rsidR="00F94F16" w:rsidRPr="007C463A" w:rsidRDefault="00F94F16" w:rsidP="00085947">
      <w:pPr>
        <w:ind w:firstLine="720"/>
        <w:jc w:val="both"/>
        <w:rPr>
          <w:b/>
        </w:rPr>
      </w:pPr>
      <w:r w:rsidRPr="007C463A">
        <w:rPr>
          <w:b/>
        </w:rPr>
        <w:t>2. Projekto rengimo priežastys ir kuo remiantis parengtas sprendimo projektas.</w:t>
      </w:r>
    </w:p>
    <w:p w:rsidR="00F94F16" w:rsidRPr="007C463A" w:rsidRDefault="00965E84" w:rsidP="00965E84">
      <w:pPr>
        <w:tabs>
          <w:tab w:val="left" w:pos="709"/>
          <w:tab w:val="left" w:pos="5366"/>
          <w:tab w:val="left" w:pos="6771"/>
          <w:tab w:val="left" w:pos="7363"/>
        </w:tabs>
        <w:jc w:val="both"/>
      </w:pPr>
      <w:r w:rsidRPr="007C463A">
        <w:tab/>
      </w:r>
      <w:r w:rsidR="00F94F16" w:rsidRPr="007C463A">
        <w:t xml:space="preserve">Klaipėdos miesto savivaldybės tarybos </w:t>
      </w:r>
      <w:r w:rsidRPr="007C463A">
        <w:rPr>
          <w:noProof/>
        </w:rPr>
        <w:t xml:space="preserve">2013 m. balandžio 26 d. </w:t>
      </w:r>
      <w:r w:rsidRPr="007C463A">
        <w:t xml:space="preserve">sprendimu Nr. </w:t>
      </w:r>
      <w:r w:rsidRPr="007C463A">
        <w:rPr>
          <w:noProof/>
        </w:rPr>
        <w:t>T2-79</w:t>
      </w:r>
      <w:r w:rsidRPr="007C463A">
        <w:t xml:space="preserve"> </w:t>
      </w:r>
      <w:r w:rsidR="00F94F16" w:rsidRPr="007C463A">
        <w:t xml:space="preserve">patvirtintas ilgalaikis planavimo dokumentas – </w:t>
      </w:r>
      <w:r w:rsidRPr="007C463A">
        <w:t>Klaipėdos miesto savivaldybės 2013–2020 metų strateginis plėtros planas</w:t>
      </w:r>
      <w:r w:rsidR="00F94F16" w:rsidRPr="007C463A">
        <w:t xml:space="preserve">. Dokumente išskirti </w:t>
      </w:r>
      <w:r w:rsidRPr="007C463A">
        <w:t>3</w:t>
      </w:r>
      <w:r w:rsidR="00F94F16" w:rsidRPr="007C463A">
        <w:t xml:space="preserve"> miesto plėtros prioritetai: 1) </w:t>
      </w:r>
      <w:r w:rsidRPr="007C463A">
        <w:rPr>
          <w:rFonts w:eastAsia="SimSun"/>
          <w:lang w:eastAsia="lt-LT"/>
        </w:rPr>
        <w:t>sveika, sumani ir saugi bendruomenė</w:t>
      </w:r>
      <w:r w:rsidRPr="007C463A">
        <w:t>;</w:t>
      </w:r>
      <w:r w:rsidR="00F94F16" w:rsidRPr="007C463A">
        <w:t xml:space="preserve"> 2) </w:t>
      </w:r>
      <w:r w:rsidRPr="007C463A">
        <w:rPr>
          <w:rFonts w:eastAsia="SimSun"/>
          <w:lang w:eastAsia="lt-LT"/>
        </w:rPr>
        <w:t>tvari urbanistinė raida</w:t>
      </w:r>
      <w:r w:rsidR="00F94F16" w:rsidRPr="007C463A">
        <w:t xml:space="preserve">; 3) </w:t>
      </w:r>
      <w:r w:rsidRPr="007C463A">
        <w:rPr>
          <w:rFonts w:eastAsia="SimSun"/>
          <w:lang w:eastAsia="lt-LT"/>
        </w:rPr>
        <w:t>miesto konkurencingumo didinimas</w:t>
      </w:r>
      <w:r w:rsidR="00F94F16" w:rsidRPr="007C463A">
        <w:t>. Prioritetams įgyvendinti suformuluota 1</w:t>
      </w:r>
      <w:r w:rsidR="000F66DD" w:rsidRPr="007C463A">
        <w:t>4</w:t>
      </w:r>
      <w:r w:rsidR="00F94F16" w:rsidRPr="007C463A">
        <w:t xml:space="preserve"> tikslų, 4</w:t>
      </w:r>
      <w:r w:rsidR="000F66DD" w:rsidRPr="007C463A">
        <w:t>3</w:t>
      </w:r>
      <w:r w:rsidR="00F94F16" w:rsidRPr="007C463A">
        <w:t xml:space="preserve"> uždaviniai ir 20</w:t>
      </w:r>
      <w:r w:rsidR="004C3370" w:rsidRPr="007C463A">
        <w:t>1</w:t>
      </w:r>
      <w:r w:rsidR="001A5615" w:rsidRPr="007C463A">
        <w:t>7</w:t>
      </w:r>
      <w:r w:rsidR="00F94F16" w:rsidRPr="007C463A">
        <w:t xml:space="preserve"> m. – </w:t>
      </w:r>
      <w:r w:rsidR="002B72A9" w:rsidRPr="007C463A">
        <w:t>2</w:t>
      </w:r>
      <w:r w:rsidR="008C5E6D" w:rsidRPr="007C463A">
        <w:t>50</w:t>
      </w:r>
      <w:r w:rsidR="009B5C09" w:rsidRPr="007C463A">
        <w:t xml:space="preserve"> priemon</w:t>
      </w:r>
      <w:r w:rsidR="008C5E6D" w:rsidRPr="007C463A">
        <w:t>ių</w:t>
      </w:r>
      <w:r w:rsidR="00F94F16" w:rsidRPr="007C463A">
        <w:t xml:space="preserve">. Nurodyti </w:t>
      </w:r>
      <w:r w:rsidR="009B5C09" w:rsidRPr="007C463A">
        <w:t xml:space="preserve">priemonių </w:t>
      </w:r>
      <w:r w:rsidR="00F94F16" w:rsidRPr="007C463A">
        <w:t>įgyvendinimo rodikliai, terminai bei vykdytojai.</w:t>
      </w:r>
      <w:r w:rsidR="00DB3FE1" w:rsidRPr="007C463A">
        <w:t xml:space="preserve"> </w:t>
      </w:r>
    </w:p>
    <w:p w:rsidR="00F94F16" w:rsidRPr="007C463A" w:rsidRDefault="00F94F16" w:rsidP="00085947">
      <w:pPr>
        <w:ind w:firstLine="720"/>
        <w:jc w:val="both"/>
      </w:pPr>
      <w:r w:rsidRPr="007C463A">
        <w:t>Sprendimo projektą</w:t>
      </w:r>
      <w:r w:rsidR="00DD2AC6" w:rsidRPr="007C463A">
        <w:t>, kuriuo tvirtinama ilgalaikio plano ataskaita,</w:t>
      </w:r>
      <w:r w:rsidRPr="007C463A">
        <w:t xml:space="preserve"> sudaro 3 dalys: </w:t>
      </w:r>
    </w:p>
    <w:p w:rsidR="00F94F16" w:rsidRPr="007C463A" w:rsidRDefault="00F94F16" w:rsidP="00085947">
      <w:pPr>
        <w:ind w:firstLine="720"/>
        <w:jc w:val="both"/>
      </w:pPr>
      <w:r w:rsidRPr="007C463A">
        <w:t xml:space="preserve">1) </w:t>
      </w:r>
      <w:r w:rsidR="009B5C09" w:rsidRPr="007C463A">
        <w:rPr>
          <w:i/>
        </w:rPr>
        <w:t>V</w:t>
      </w:r>
      <w:r w:rsidRPr="007C463A">
        <w:rPr>
          <w:i/>
        </w:rPr>
        <w:t>izijos rodikliai.</w:t>
      </w:r>
      <w:r w:rsidRPr="007C463A">
        <w:t xml:space="preserve"> Vizijos rodikliai parodo KSP veiksmų įgyvendinimo poveikį trijų pagrindinių miesto sektorių – visuomenės, ekonomikos ir aplinkos – raidai ir artėjimą prie vizijos</w:t>
      </w:r>
      <w:r w:rsidR="00DD2AC6" w:rsidRPr="007C463A">
        <w:t xml:space="preserve">. </w:t>
      </w:r>
    </w:p>
    <w:p w:rsidR="00F94F16" w:rsidRPr="007C463A" w:rsidRDefault="00F94F16" w:rsidP="00085947">
      <w:pPr>
        <w:ind w:firstLine="720"/>
        <w:jc w:val="both"/>
      </w:pPr>
      <w:r w:rsidRPr="007C463A">
        <w:t xml:space="preserve">2) </w:t>
      </w:r>
      <w:r w:rsidR="00B547A3" w:rsidRPr="007C463A">
        <w:t xml:space="preserve">   </w:t>
      </w:r>
      <w:r w:rsidR="009B5C09" w:rsidRPr="007C463A">
        <w:rPr>
          <w:i/>
        </w:rPr>
        <w:t xml:space="preserve">Tikslų-uždavinių rodikliai. </w:t>
      </w:r>
      <w:r w:rsidR="009B5C09" w:rsidRPr="007C463A">
        <w:t>Šie</w:t>
      </w:r>
      <w:r w:rsidRPr="007C463A">
        <w:t xml:space="preserve"> rodikliai parodo</w:t>
      </w:r>
      <w:r w:rsidR="009B5C09" w:rsidRPr="007C463A">
        <w:t>, kaip sekasi įgyvendinti tikslus ir uždavinius.</w:t>
      </w:r>
    </w:p>
    <w:p w:rsidR="007B2FE7" w:rsidRPr="007C463A" w:rsidRDefault="00B547A3" w:rsidP="007B2FE7">
      <w:pPr>
        <w:ind w:firstLine="720"/>
        <w:jc w:val="both"/>
      </w:pPr>
      <w:r w:rsidRPr="007C463A">
        <w:t xml:space="preserve">3) </w:t>
      </w:r>
      <w:r w:rsidR="009B5C09" w:rsidRPr="007C463A">
        <w:rPr>
          <w:i/>
        </w:rPr>
        <w:t>Priemonių</w:t>
      </w:r>
      <w:r w:rsidR="00F94F16" w:rsidRPr="007C463A">
        <w:rPr>
          <w:i/>
        </w:rPr>
        <w:t xml:space="preserve"> įgyvendinimo rodikliai.</w:t>
      </w:r>
      <w:r w:rsidR="00F94F16" w:rsidRPr="007C463A">
        <w:t xml:space="preserve"> </w:t>
      </w:r>
      <w:r w:rsidR="009B5C09" w:rsidRPr="007C463A">
        <w:t>Šie</w:t>
      </w:r>
      <w:r w:rsidR="00F94F16" w:rsidRPr="007C463A">
        <w:t xml:space="preserve"> rodikliai apibūdina </w:t>
      </w:r>
      <w:r w:rsidR="009B5C09" w:rsidRPr="007C463A">
        <w:t>konkrečios priemonės</w:t>
      </w:r>
      <w:r w:rsidR="00F94F16" w:rsidRPr="007C463A">
        <w:t xml:space="preserve"> įgyvendinimą. </w:t>
      </w:r>
    </w:p>
    <w:p w:rsidR="007B2FE7" w:rsidRPr="007C463A" w:rsidRDefault="007B2FE7" w:rsidP="007B2FE7">
      <w:pPr>
        <w:ind w:firstLine="720"/>
        <w:jc w:val="both"/>
      </w:pPr>
      <w:r w:rsidRPr="007C463A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619263</wp:posOffset>
                </wp:positionH>
                <wp:positionV relativeFrom="paragraph">
                  <wp:posOffset>374926</wp:posOffset>
                </wp:positionV>
                <wp:extent cx="785004" cy="155275"/>
                <wp:effectExtent l="0" t="0" r="15240" b="16510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004" cy="1552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8546DEB" id="Stačiakampis 2" o:spid="_x0000_s1026" style="position:absolute;margin-left:48.75pt;margin-top:29.5pt;width:61.8pt;height:1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4sq3bQIAAB4FAAAOAAAAZHJzL2Uyb0RvYy54bWysVEtuGzEM3RfoHQTtm/nArlPD48BIkKJA kAR1iqwVjRQL0a+U7LF7h96qByulGX+QBl0U3Wio4SNFPj1qdrE1mmwEBOVsQ6uzkhJhuWuVfW7o t4frD+eUhMhsy7SzoqE7EejF/P27WeenonYrp1sBBJPYMO18Q1cx+mlRBL4ShoUz54VFp3RgWMQt PBctsA6zG13UZfmx6By0HhwXIeDfq95J5zm/lILHOymDiEQ3FGuLeYW8PqW1mM/Y9BmYXyk+lMH+ oQrDlMVDD6muWGRkDeqPVEZxcMHJeMadKZyUiovcA3ZTla+6Wa6YF7kXJCf4A03h/6Xlt5t7IKpt aE2JZQavaBnZr5+KvTDjVSB1oqjzYYrIpb+HYRfQTP1uJZj0xU7INtO6O9AqtpFw/Dk5H5fliBKO rmo8rifjlLM4BnsI8bNwhiSjoYC3lslkm5sQe+geks7SlnSYqZ6U+f6KVF1fT7biTose9lVIbA0r qHO6LCpxqYFsGMqhfamGOrRFZAqRSutDUPVWkI77oAGbwkQW2iGwfCvweNoBnU90Nh4CjbIO/h4s ezzSd9JrMp9cu8ObBNdLPHh+rZDNGxbiPQPUNKof5zTe4SK1QwLdYFGycvDjrf8Jj1JDLyUdzkhD w/c1A0GJ/mJRhJ+q0SgNVd6MxpMaN3DqeTr12LW5dMh7hS+C59lM+Kj3pgRnHnGcF+lUdDHL8eyG 8gj7zWXsZxcfBC4WiwzDQfIs3til5yl5YjWp5WH7yMAPkoqoxVu3nyc2faWsHpsirVuso5Mqy+7I 68A3DmEW7vBgpCk/3WfU8Vmb/wYAAP//AwBQSwMEFAAGAAgAAAAhAL/63/PeAAAACAEAAA8AAABk cnMvZG93bnJldi54bWxMjzFPwzAUhHck/oP1kNiok6C0TRqnqhBMICoKA6MbvyYR9nNku0n67zET HU93uvuu2s5GsxGd7y0JSBcJMKTGqp5aAV+fLw9rYD5IUlJbQgEX9LCtb28qWSo70QeOh9CyWEK+ lAK6EIaSc990aKRf2AEpeifrjAxRupYrJ6dYbjTPkmTJjewpLnRywKcOm5/D2Qiw+/6id654H99w 9f26D8k0L5+FuL+bdxtgAefwH4Y//IgOdWQ62jMpz7SAYpXHpIC8iJein2VpCuwoYP2YA68rfn2g /gUAAP//AwBQSwECLQAUAAYACAAAACEAtoM4kv4AAADhAQAAEwAAAAAAAAAAAAAAAAAAAAAAW0Nv bnRlbnRfVHlwZXNdLnhtbFBLAQItABQABgAIAAAAIQA4/SH/1gAAAJQBAAALAAAAAAAAAAAAAAAA AC8BAABfcmVscy8ucmVsc1BLAQItABQABgAIAAAAIQCx4sq3bQIAAB4FAAAOAAAAAAAAAAAAAAAA AC4CAABkcnMvZTJvRG9jLnhtbFBLAQItABQABgAIAAAAIQC/+t/z3gAAAAgBAAAPAAAAAAAAAAAA AAAAAMcEAABkcnMvZG93bnJldi54bWxQSwUGAAAAAAQABADzAAAA0gUAAAAA " fillcolor="white [3201]" strokecolor="black [3200]" strokeweight="1pt"/>
            </w:pict>
          </mc:Fallback>
        </mc:AlternateContent>
      </w:r>
      <w:r w:rsidRPr="007C463A">
        <w:t>Priemonių įgyvendinimas pagal atitinkamą įgyvendinimo lygį žymimas skirtingomis spalvomis bei skaitine verte (</w:t>
      </w:r>
      <w:r w:rsidRPr="007C463A">
        <w:rPr>
          <w:shd w:val="clear" w:color="auto" w:fill="FF99CC"/>
        </w:rPr>
        <w:t>raudona spalva</w:t>
      </w:r>
      <w:r w:rsidRPr="007C463A">
        <w:t xml:space="preserve">  – priemonė neįgyvendinta vertinant pagal planuotą terminą bei rodiklius; balta spalva – priemonė įgyvendinama, vertinant pagal planuotą terminą bei rodiklius; </w:t>
      </w:r>
      <w:r w:rsidRPr="007C463A">
        <w:rPr>
          <w:shd w:val="clear" w:color="auto" w:fill="CCFFCC"/>
        </w:rPr>
        <w:t>žalia spalva</w:t>
      </w:r>
      <w:r w:rsidRPr="007C463A">
        <w:t xml:space="preserve"> –  priemonė įgyvendinta, vertinant pagal </w:t>
      </w:r>
      <w:r w:rsidR="008C5E6D" w:rsidRPr="007C463A">
        <w:t>planuotą terminą bei rodiklius.</w:t>
      </w:r>
    </w:p>
    <w:p w:rsidR="007F2247" w:rsidRPr="007C463A" w:rsidRDefault="007F2247" w:rsidP="00541C8E">
      <w:pPr>
        <w:ind w:firstLine="720"/>
        <w:jc w:val="both"/>
      </w:pPr>
      <w:r w:rsidRPr="007C463A">
        <w:t xml:space="preserve">Žemiau pateikiamos išvados apie KSP įgyvendinimo rezultatus pagal tris aukščiau išvardintas dalis. </w:t>
      </w:r>
    </w:p>
    <w:p w:rsidR="007F2247" w:rsidRPr="007C463A" w:rsidRDefault="00F94F16" w:rsidP="00541C8E">
      <w:pPr>
        <w:ind w:firstLine="720"/>
        <w:jc w:val="both"/>
        <w:rPr>
          <w:b/>
          <w:bCs/>
        </w:rPr>
      </w:pPr>
      <w:r w:rsidRPr="007C463A">
        <w:rPr>
          <w:b/>
          <w:bCs/>
        </w:rPr>
        <w:t>3. </w:t>
      </w:r>
      <w:r w:rsidR="009F396E" w:rsidRPr="007C463A">
        <w:rPr>
          <w:b/>
          <w:bCs/>
        </w:rPr>
        <w:t xml:space="preserve"> Pagrindiniai </w:t>
      </w:r>
      <w:r w:rsidRPr="007C463A">
        <w:rPr>
          <w:b/>
          <w:bCs/>
        </w:rPr>
        <w:t>KSP įgyvendinimo 20</w:t>
      </w:r>
      <w:r w:rsidR="004C3370" w:rsidRPr="007C463A">
        <w:rPr>
          <w:b/>
          <w:bCs/>
        </w:rPr>
        <w:t>1</w:t>
      </w:r>
      <w:r w:rsidR="00673D5D" w:rsidRPr="007C463A">
        <w:rPr>
          <w:b/>
          <w:bCs/>
          <w:lang w:val="en-US"/>
        </w:rPr>
        <w:t>7</w:t>
      </w:r>
      <w:r w:rsidRPr="007C463A">
        <w:rPr>
          <w:b/>
          <w:bCs/>
        </w:rPr>
        <w:t xml:space="preserve"> m. ataskaitos rezultatai.</w:t>
      </w:r>
    </w:p>
    <w:p w:rsidR="00541C8E" w:rsidRPr="007C463A" w:rsidRDefault="007F2247" w:rsidP="00935019">
      <w:pPr>
        <w:ind w:firstLine="720"/>
        <w:jc w:val="both"/>
        <w:rPr>
          <w:b/>
          <w:bCs/>
        </w:rPr>
      </w:pPr>
      <w:r w:rsidRPr="007C463A">
        <w:rPr>
          <w:b/>
          <w:bCs/>
        </w:rPr>
        <w:t xml:space="preserve">1) Vizijos rodikliai. </w:t>
      </w:r>
      <w:r w:rsidR="00541C8E" w:rsidRPr="007C463A">
        <w:rPr>
          <w:bCs/>
        </w:rPr>
        <w:t xml:space="preserve">Juos sudaro </w:t>
      </w:r>
      <w:r w:rsidR="00EB6040" w:rsidRPr="007C463A">
        <w:rPr>
          <w:bCs/>
        </w:rPr>
        <w:t>6</w:t>
      </w:r>
      <w:r w:rsidR="00541C8E" w:rsidRPr="007C463A">
        <w:rPr>
          <w:bCs/>
        </w:rPr>
        <w:t xml:space="preserve"> rodikliai: gyventojų skaičiaus </w:t>
      </w:r>
      <w:r w:rsidR="00EB6040" w:rsidRPr="007C463A">
        <w:rPr>
          <w:bCs/>
        </w:rPr>
        <w:t xml:space="preserve">metinis </w:t>
      </w:r>
      <w:r w:rsidR="00541C8E" w:rsidRPr="007C463A">
        <w:rPr>
          <w:bCs/>
        </w:rPr>
        <w:t xml:space="preserve">pokytis (proc.), </w:t>
      </w:r>
      <w:r w:rsidR="00EB6040" w:rsidRPr="007C463A">
        <w:rPr>
          <w:bCs/>
        </w:rPr>
        <w:t xml:space="preserve">natūrali gyventojų kaita (asmenys), vidutinė tikėtina gyvenimo trukmė (metai), </w:t>
      </w:r>
      <w:r w:rsidR="00541C8E" w:rsidRPr="007C463A">
        <w:rPr>
          <w:bCs/>
        </w:rPr>
        <w:t>tiesioginės užsienio investicijos vienam gyventojui (</w:t>
      </w:r>
      <w:r w:rsidR="00EB6040" w:rsidRPr="007C463A">
        <w:rPr>
          <w:bCs/>
        </w:rPr>
        <w:t>Eur/gyv.</w:t>
      </w:r>
      <w:r w:rsidR="00541C8E" w:rsidRPr="007C463A">
        <w:rPr>
          <w:bCs/>
        </w:rPr>
        <w:t>), vidutinis mėnesinis (bruto) darbo užmokestis (</w:t>
      </w:r>
      <w:r w:rsidR="00EB6040" w:rsidRPr="007C463A">
        <w:rPr>
          <w:bCs/>
        </w:rPr>
        <w:t>Eur/mėn.</w:t>
      </w:r>
      <w:r w:rsidR="00541C8E" w:rsidRPr="007C463A">
        <w:rPr>
          <w:bCs/>
        </w:rPr>
        <w:t>), registruotų bedarbių ir darbingo amžiaus gyventojų santykis (proc.)</w:t>
      </w:r>
    </w:p>
    <w:p w:rsidR="00F57B30" w:rsidRPr="007C463A" w:rsidRDefault="00541C8E" w:rsidP="00F57B30">
      <w:pPr>
        <w:ind w:firstLine="720"/>
        <w:jc w:val="both"/>
        <w:rPr>
          <w:bCs/>
        </w:rPr>
      </w:pPr>
      <w:r w:rsidRPr="007C463A">
        <w:rPr>
          <w:b/>
          <w:bCs/>
        </w:rPr>
        <w:t xml:space="preserve"> </w:t>
      </w:r>
      <w:r w:rsidRPr="007C463A">
        <w:rPr>
          <w:bCs/>
        </w:rPr>
        <w:t>Kai kurios v</w:t>
      </w:r>
      <w:r w:rsidR="003A2229" w:rsidRPr="007C463A">
        <w:rPr>
          <w:bCs/>
        </w:rPr>
        <w:t xml:space="preserve">izijos rodiklių </w:t>
      </w:r>
      <w:r w:rsidR="005E7FE7" w:rsidRPr="007C463A">
        <w:rPr>
          <w:bCs/>
        </w:rPr>
        <w:t xml:space="preserve">reikšmių tendencijos yra </w:t>
      </w:r>
      <w:r w:rsidR="0027335B" w:rsidRPr="007C463A">
        <w:rPr>
          <w:bCs/>
        </w:rPr>
        <w:t>palankios Klaipėdos miesto savivaldybei</w:t>
      </w:r>
      <w:r w:rsidR="009B5C09" w:rsidRPr="007C463A">
        <w:rPr>
          <w:bCs/>
        </w:rPr>
        <w:t>.</w:t>
      </w:r>
      <w:r w:rsidR="005E7FE7" w:rsidRPr="007C463A">
        <w:rPr>
          <w:bCs/>
        </w:rPr>
        <w:t xml:space="preserve"> </w:t>
      </w:r>
      <w:r w:rsidR="00935019" w:rsidRPr="007C463A">
        <w:rPr>
          <w:bCs/>
        </w:rPr>
        <w:t>Klaipėdos miestas pagal tiesioginių užsienio investicijų, tenkančių vienam gyventojui, rodiklį 201</w:t>
      </w:r>
      <w:r w:rsidR="00172A30" w:rsidRPr="007C463A">
        <w:rPr>
          <w:bCs/>
        </w:rPr>
        <w:t>6</w:t>
      </w:r>
      <w:r w:rsidR="00935019" w:rsidRPr="007C463A">
        <w:rPr>
          <w:bCs/>
        </w:rPr>
        <w:t xml:space="preserve"> m. užėmė antrą vietą tarp didžiųjų šalies miestų (žr. 1 diagramą).</w:t>
      </w:r>
      <w:r w:rsidR="008D591A" w:rsidRPr="007C463A">
        <w:rPr>
          <w:bCs/>
        </w:rPr>
        <w:t xml:space="preserve"> </w:t>
      </w:r>
    </w:p>
    <w:p w:rsidR="008D591A" w:rsidRPr="007C463A" w:rsidRDefault="008D591A" w:rsidP="00B97D4A">
      <w:pPr>
        <w:tabs>
          <w:tab w:val="left" w:pos="567"/>
        </w:tabs>
        <w:ind w:firstLine="284"/>
        <w:jc w:val="both"/>
        <w:rPr>
          <w:b/>
          <w:bCs/>
          <w:sz w:val="20"/>
          <w:szCs w:val="20"/>
        </w:rPr>
      </w:pPr>
      <w:r w:rsidRPr="007C463A">
        <w:rPr>
          <w:noProof/>
          <w:lang w:eastAsia="lt-L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252785</wp:posOffset>
            </wp:positionV>
            <wp:extent cx="6137910" cy="3546282"/>
            <wp:effectExtent l="0" t="0" r="15240" b="16510"/>
            <wp:wrapSquare wrapText="bothSides"/>
            <wp:docPr id="3" name="Diagra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019" w:rsidRPr="007C463A" w:rsidRDefault="00935019" w:rsidP="00B97D4A">
      <w:pPr>
        <w:tabs>
          <w:tab w:val="left" w:pos="567"/>
        </w:tabs>
        <w:ind w:firstLine="284"/>
        <w:jc w:val="both"/>
        <w:rPr>
          <w:bCs/>
        </w:rPr>
      </w:pPr>
      <w:r w:rsidRPr="007C463A">
        <w:rPr>
          <w:b/>
          <w:bCs/>
          <w:sz w:val="20"/>
          <w:szCs w:val="20"/>
        </w:rPr>
        <w:t>1 diagrama. Tiesioginės užsienio investicijos</w:t>
      </w:r>
      <w:r w:rsidR="001A2964" w:rsidRPr="007C463A">
        <w:rPr>
          <w:b/>
          <w:bCs/>
          <w:sz w:val="20"/>
          <w:szCs w:val="20"/>
        </w:rPr>
        <w:t xml:space="preserve">, tenkančios vienam gyventojui, </w:t>
      </w:r>
      <w:r w:rsidR="00890B67" w:rsidRPr="007C463A">
        <w:rPr>
          <w:b/>
          <w:bCs/>
          <w:sz w:val="20"/>
          <w:szCs w:val="20"/>
        </w:rPr>
        <w:t>201</w:t>
      </w:r>
      <w:r w:rsidR="00172A30" w:rsidRPr="007C463A">
        <w:rPr>
          <w:b/>
          <w:bCs/>
          <w:sz w:val="20"/>
          <w:szCs w:val="20"/>
        </w:rPr>
        <w:t>5</w:t>
      </w:r>
      <w:r w:rsidR="00890B67" w:rsidRPr="007C463A">
        <w:rPr>
          <w:b/>
          <w:bCs/>
          <w:sz w:val="20"/>
          <w:szCs w:val="20"/>
        </w:rPr>
        <w:t xml:space="preserve"> m.</w:t>
      </w:r>
      <w:r w:rsidR="00172A30" w:rsidRPr="007C463A">
        <w:rPr>
          <w:b/>
          <w:bCs/>
          <w:sz w:val="20"/>
          <w:szCs w:val="20"/>
        </w:rPr>
        <w:t>, 2016</w:t>
      </w:r>
      <w:r w:rsidR="00890B67" w:rsidRPr="007C463A">
        <w:rPr>
          <w:b/>
          <w:bCs/>
          <w:sz w:val="20"/>
          <w:szCs w:val="20"/>
        </w:rPr>
        <w:t xml:space="preserve"> </w:t>
      </w:r>
      <w:r w:rsidR="00B97D4A" w:rsidRPr="007C463A">
        <w:rPr>
          <w:b/>
          <w:bCs/>
          <w:sz w:val="20"/>
          <w:szCs w:val="20"/>
        </w:rPr>
        <w:t>pabaigoje</w:t>
      </w:r>
      <w:r w:rsidRPr="007C463A">
        <w:rPr>
          <w:b/>
          <w:bCs/>
          <w:sz w:val="20"/>
          <w:szCs w:val="20"/>
        </w:rPr>
        <w:t xml:space="preserve"> </w:t>
      </w:r>
    </w:p>
    <w:p w:rsidR="00935019" w:rsidRPr="007C463A" w:rsidRDefault="00935019" w:rsidP="00935019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4C2F02" w:rsidRPr="007C463A" w:rsidRDefault="004C2F02" w:rsidP="00935019">
      <w:pPr>
        <w:ind w:firstLine="720"/>
        <w:jc w:val="center"/>
        <w:rPr>
          <w:b/>
          <w:bCs/>
          <w:sz w:val="20"/>
          <w:szCs w:val="20"/>
        </w:rPr>
      </w:pPr>
    </w:p>
    <w:p w:rsidR="00935019" w:rsidRPr="007C463A" w:rsidRDefault="00935019" w:rsidP="0027335B">
      <w:pPr>
        <w:ind w:firstLine="720"/>
        <w:jc w:val="both"/>
        <w:rPr>
          <w:bCs/>
        </w:rPr>
      </w:pPr>
      <w:r w:rsidRPr="007C463A">
        <w:rPr>
          <w:bCs/>
        </w:rPr>
        <w:t>V</w:t>
      </w:r>
      <w:r w:rsidR="00376B2B" w:rsidRPr="007C463A">
        <w:rPr>
          <w:bCs/>
        </w:rPr>
        <w:t xml:space="preserve">idutinis mėnesinis (bruto) darbo užmokestis </w:t>
      </w:r>
      <w:r w:rsidRPr="007C463A">
        <w:rPr>
          <w:bCs/>
        </w:rPr>
        <w:t>Klaipėdos mieste</w:t>
      </w:r>
      <w:r w:rsidR="00EF488F" w:rsidRPr="007C463A">
        <w:rPr>
          <w:bCs/>
        </w:rPr>
        <w:t xml:space="preserve"> 201</w:t>
      </w:r>
      <w:r w:rsidR="00673D5D" w:rsidRPr="007C463A">
        <w:rPr>
          <w:bCs/>
        </w:rPr>
        <w:t>7</w:t>
      </w:r>
      <w:r w:rsidR="00EF488F" w:rsidRPr="007C463A">
        <w:rPr>
          <w:bCs/>
        </w:rPr>
        <w:t xml:space="preserve"> m.</w:t>
      </w:r>
      <w:r w:rsidR="00541C8E" w:rsidRPr="007C463A">
        <w:rPr>
          <w:bCs/>
        </w:rPr>
        <w:t xml:space="preserve"> </w:t>
      </w:r>
      <w:r w:rsidR="00B63F71" w:rsidRPr="007C463A">
        <w:rPr>
          <w:bCs/>
        </w:rPr>
        <w:t xml:space="preserve">IV ketvirtį </w:t>
      </w:r>
      <w:r w:rsidR="00D83A0B" w:rsidRPr="007C463A">
        <w:rPr>
          <w:bCs/>
        </w:rPr>
        <w:t>s</w:t>
      </w:r>
      <w:r w:rsidRPr="007C463A">
        <w:rPr>
          <w:bCs/>
        </w:rPr>
        <w:t>iekė</w:t>
      </w:r>
      <w:r w:rsidR="00376B2B" w:rsidRPr="007C463A">
        <w:rPr>
          <w:bCs/>
        </w:rPr>
        <w:t xml:space="preserve"> </w:t>
      </w:r>
      <w:r w:rsidR="0082111A" w:rsidRPr="007C463A">
        <w:rPr>
          <w:bCs/>
        </w:rPr>
        <w:t>933,5</w:t>
      </w:r>
      <w:r w:rsidR="00B63F71" w:rsidRPr="007C463A">
        <w:rPr>
          <w:bCs/>
        </w:rPr>
        <w:t xml:space="preserve"> </w:t>
      </w:r>
      <w:r w:rsidR="00376B2B" w:rsidRPr="007C463A">
        <w:rPr>
          <w:bCs/>
        </w:rPr>
        <w:t xml:space="preserve"> </w:t>
      </w:r>
      <w:r w:rsidR="00D83A0B" w:rsidRPr="007C463A">
        <w:rPr>
          <w:bCs/>
        </w:rPr>
        <w:t>Eur</w:t>
      </w:r>
      <w:r w:rsidR="00B63F71" w:rsidRPr="007C463A">
        <w:rPr>
          <w:bCs/>
        </w:rPr>
        <w:t>/mėn.</w:t>
      </w:r>
      <w:r w:rsidR="00541C8E" w:rsidRPr="007C463A">
        <w:rPr>
          <w:bCs/>
        </w:rPr>
        <w:t xml:space="preserve"> Vidutinis mėnesinis darbo užmokestis Klaipėdos mieste buvo aukštesnis nei vidutiniškai šalyje</w:t>
      </w:r>
      <w:r w:rsidR="006517A3" w:rsidRPr="007C463A">
        <w:rPr>
          <w:bCs/>
        </w:rPr>
        <w:t xml:space="preserve"> (876,4 Eur/mėn.)</w:t>
      </w:r>
      <w:r w:rsidR="00541C8E" w:rsidRPr="007C463A">
        <w:rPr>
          <w:bCs/>
        </w:rPr>
        <w:t xml:space="preserve"> ir tarp visų Lietuvos savivaldybių žemesnis tik už sostinės Vilniaus</w:t>
      </w:r>
      <w:r w:rsidR="00FD64D5" w:rsidRPr="007C463A">
        <w:rPr>
          <w:bCs/>
        </w:rPr>
        <w:t xml:space="preserve"> </w:t>
      </w:r>
      <w:r w:rsidR="00541C8E" w:rsidRPr="007C463A">
        <w:rPr>
          <w:bCs/>
        </w:rPr>
        <w:t>(žr. 2 diagramą).</w:t>
      </w:r>
    </w:p>
    <w:p w:rsidR="00B63F71" w:rsidRPr="007C463A" w:rsidRDefault="00B63F71" w:rsidP="0027335B">
      <w:pPr>
        <w:ind w:firstLine="720"/>
        <w:jc w:val="both"/>
        <w:rPr>
          <w:bCs/>
        </w:rPr>
      </w:pPr>
    </w:p>
    <w:p w:rsidR="00541C8E" w:rsidRPr="007C463A" w:rsidRDefault="00B63F71" w:rsidP="00456C39">
      <w:pPr>
        <w:jc w:val="center"/>
        <w:rPr>
          <w:bCs/>
        </w:rPr>
      </w:pPr>
      <w:r w:rsidRPr="007C463A">
        <w:rPr>
          <w:noProof/>
          <w:lang w:eastAsia="lt-LT"/>
        </w:rPr>
        <w:drawing>
          <wp:inline distT="0" distB="0" distL="0" distR="0" wp14:anchorId="44404085" wp14:editId="37D35952">
            <wp:extent cx="6495774" cy="1701055"/>
            <wp:effectExtent l="0" t="0" r="635" b="13970"/>
            <wp:docPr id="5" name="Diagrama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1C8E" w:rsidRPr="007C463A" w:rsidRDefault="00541C8E" w:rsidP="00541C8E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2 diagrama. Vidutinis mėnes</w:t>
      </w:r>
      <w:r w:rsidR="001A7A90" w:rsidRPr="007C463A">
        <w:rPr>
          <w:b/>
          <w:bCs/>
          <w:sz w:val="20"/>
          <w:szCs w:val="20"/>
        </w:rPr>
        <w:t>i</w:t>
      </w:r>
      <w:r w:rsidRPr="007C463A">
        <w:rPr>
          <w:b/>
          <w:bCs/>
          <w:sz w:val="20"/>
          <w:szCs w:val="20"/>
        </w:rPr>
        <w:t xml:space="preserve">nis (bruto) darbo užmokestis </w:t>
      </w:r>
      <w:r w:rsidR="00DB3A1A" w:rsidRPr="007C463A">
        <w:rPr>
          <w:b/>
          <w:bCs/>
          <w:sz w:val="20"/>
          <w:szCs w:val="20"/>
        </w:rPr>
        <w:t xml:space="preserve">Eur/mėn. </w:t>
      </w:r>
      <w:r w:rsidR="0080657A" w:rsidRPr="007C463A">
        <w:rPr>
          <w:b/>
          <w:bCs/>
          <w:sz w:val="20"/>
          <w:szCs w:val="20"/>
        </w:rPr>
        <w:t>201</w:t>
      </w:r>
      <w:r w:rsidR="0082111A" w:rsidRPr="007C463A">
        <w:rPr>
          <w:b/>
          <w:bCs/>
          <w:sz w:val="20"/>
          <w:szCs w:val="20"/>
        </w:rPr>
        <w:t>5</w:t>
      </w:r>
      <w:r w:rsidR="0080657A" w:rsidRPr="007C463A">
        <w:rPr>
          <w:b/>
          <w:bCs/>
          <w:sz w:val="20"/>
          <w:szCs w:val="20"/>
        </w:rPr>
        <w:t xml:space="preserve"> m.</w:t>
      </w:r>
      <w:r w:rsidR="00BA568E" w:rsidRPr="007C463A">
        <w:rPr>
          <w:b/>
          <w:bCs/>
          <w:sz w:val="20"/>
          <w:szCs w:val="20"/>
        </w:rPr>
        <w:t>, 201</w:t>
      </w:r>
      <w:r w:rsidR="0082111A" w:rsidRPr="007C463A">
        <w:rPr>
          <w:b/>
          <w:bCs/>
          <w:sz w:val="20"/>
          <w:szCs w:val="20"/>
        </w:rPr>
        <w:t>6</w:t>
      </w:r>
      <w:r w:rsidR="00BA568E" w:rsidRPr="007C463A">
        <w:rPr>
          <w:b/>
          <w:bCs/>
          <w:sz w:val="20"/>
          <w:szCs w:val="20"/>
        </w:rPr>
        <w:t xml:space="preserve"> m.</w:t>
      </w:r>
      <w:r w:rsidR="00B63F71" w:rsidRPr="007C463A">
        <w:rPr>
          <w:b/>
          <w:bCs/>
          <w:sz w:val="20"/>
          <w:szCs w:val="20"/>
        </w:rPr>
        <w:t xml:space="preserve"> ir </w:t>
      </w:r>
      <w:r w:rsidR="0080657A" w:rsidRPr="007C463A">
        <w:rPr>
          <w:b/>
          <w:bCs/>
          <w:sz w:val="20"/>
          <w:szCs w:val="20"/>
        </w:rPr>
        <w:t>201</w:t>
      </w:r>
      <w:r w:rsidR="0082111A" w:rsidRPr="007C463A">
        <w:rPr>
          <w:b/>
          <w:bCs/>
          <w:sz w:val="20"/>
          <w:szCs w:val="20"/>
        </w:rPr>
        <w:t>7</w:t>
      </w:r>
      <w:r w:rsidR="0080657A" w:rsidRPr="007C463A">
        <w:rPr>
          <w:b/>
          <w:bCs/>
          <w:sz w:val="20"/>
          <w:szCs w:val="20"/>
        </w:rPr>
        <w:t xml:space="preserve"> m. </w:t>
      </w:r>
      <w:r w:rsidR="00B63F71" w:rsidRPr="007C463A">
        <w:rPr>
          <w:b/>
          <w:bCs/>
          <w:sz w:val="20"/>
          <w:szCs w:val="20"/>
        </w:rPr>
        <w:t>IV ketvirtį</w:t>
      </w:r>
    </w:p>
    <w:p w:rsidR="00541C8E" w:rsidRPr="007C463A" w:rsidRDefault="00541C8E" w:rsidP="00541C8E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541C8E" w:rsidRPr="007C463A" w:rsidRDefault="00541C8E" w:rsidP="00541C8E">
      <w:pPr>
        <w:rPr>
          <w:b/>
          <w:bCs/>
          <w:sz w:val="20"/>
          <w:szCs w:val="20"/>
        </w:rPr>
      </w:pPr>
    </w:p>
    <w:p w:rsidR="00637704" w:rsidRPr="007C463A" w:rsidRDefault="00637704" w:rsidP="0027335B">
      <w:pPr>
        <w:ind w:firstLine="720"/>
        <w:jc w:val="both"/>
        <w:rPr>
          <w:bCs/>
        </w:rPr>
      </w:pPr>
      <w:r w:rsidRPr="007C463A">
        <w:rPr>
          <w:bCs/>
        </w:rPr>
        <w:t>201</w:t>
      </w:r>
      <w:r w:rsidR="00DF51BA" w:rsidRPr="007C463A">
        <w:rPr>
          <w:bCs/>
        </w:rPr>
        <w:t>7</w:t>
      </w:r>
      <w:r w:rsidR="00B63F71" w:rsidRPr="007C463A">
        <w:rPr>
          <w:bCs/>
        </w:rPr>
        <w:t xml:space="preserve"> </w:t>
      </w:r>
      <w:r w:rsidR="00DF51BA" w:rsidRPr="007C463A">
        <w:rPr>
          <w:bCs/>
        </w:rPr>
        <w:t xml:space="preserve">m. </w:t>
      </w:r>
      <w:r w:rsidRPr="007C463A">
        <w:rPr>
          <w:bCs/>
        </w:rPr>
        <w:t>registruotų bedarbių ir darbingo amžiaus gyventojų santyk</w:t>
      </w:r>
      <w:r w:rsidR="00DF51BA" w:rsidRPr="007C463A">
        <w:rPr>
          <w:bCs/>
        </w:rPr>
        <w:t xml:space="preserve">is išliko </w:t>
      </w:r>
      <w:r w:rsidR="002F0884" w:rsidRPr="007C463A">
        <w:rPr>
          <w:bCs/>
        </w:rPr>
        <w:t>nepakitęs</w:t>
      </w:r>
      <w:r w:rsidR="00DF51BA" w:rsidRPr="007C463A">
        <w:rPr>
          <w:bCs/>
        </w:rPr>
        <w:t xml:space="preserve"> - </w:t>
      </w:r>
      <w:r w:rsidR="00EC3F19" w:rsidRPr="007C463A">
        <w:rPr>
          <w:bCs/>
        </w:rPr>
        <w:t>6</w:t>
      </w:r>
      <w:r w:rsidR="006D03B2" w:rsidRPr="007C463A">
        <w:rPr>
          <w:bCs/>
        </w:rPr>
        <w:t>,4</w:t>
      </w:r>
      <w:r w:rsidRPr="007C463A">
        <w:rPr>
          <w:bCs/>
        </w:rPr>
        <w:t xml:space="preserve"> proc. (</w:t>
      </w:r>
      <w:r w:rsidR="00673D5D" w:rsidRPr="007C463A">
        <w:rPr>
          <w:bCs/>
        </w:rPr>
        <w:t xml:space="preserve">2016 m. – </w:t>
      </w:r>
      <w:r w:rsidR="00DF51BA" w:rsidRPr="007C463A">
        <w:rPr>
          <w:bCs/>
        </w:rPr>
        <w:t>6,4</w:t>
      </w:r>
      <w:r w:rsidR="00673D5D" w:rsidRPr="007C463A">
        <w:rPr>
          <w:bCs/>
        </w:rPr>
        <w:t xml:space="preserve">, </w:t>
      </w:r>
      <w:r w:rsidR="00EC3F19" w:rsidRPr="007C463A">
        <w:rPr>
          <w:bCs/>
        </w:rPr>
        <w:t>2015 m. – 7</w:t>
      </w:r>
      <w:r w:rsidR="006D03B2" w:rsidRPr="007C463A">
        <w:rPr>
          <w:bCs/>
        </w:rPr>
        <w:t>,2</w:t>
      </w:r>
      <w:r w:rsidR="00EC3F19" w:rsidRPr="007C463A">
        <w:rPr>
          <w:bCs/>
        </w:rPr>
        <w:t xml:space="preserve">, </w:t>
      </w:r>
      <w:r w:rsidR="00BA3084" w:rsidRPr="007C463A">
        <w:rPr>
          <w:bCs/>
        </w:rPr>
        <w:t>2014 m. – 7,</w:t>
      </w:r>
      <w:r w:rsidR="006D03B2" w:rsidRPr="007C463A">
        <w:rPr>
          <w:bCs/>
        </w:rPr>
        <w:t>4</w:t>
      </w:r>
      <w:r w:rsidR="00EC3F19" w:rsidRPr="007C463A">
        <w:rPr>
          <w:bCs/>
        </w:rPr>
        <w:t>,</w:t>
      </w:r>
      <w:r w:rsidR="00BA3084" w:rsidRPr="007C463A">
        <w:rPr>
          <w:bCs/>
        </w:rPr>
        <w:t xml:space="preserve"> </w:t>
      </w:r>
      <w:r w:rsidR="00FB3086" w:rsidRPr="007C463A">
        <w:rPr>
          <w:bCs/>
        </w:rPr>
        <w:t>2013 m. – 8,</w:t>
      </w:r>
      <w:r w:rsidR="006D03B2" w:rsidRPr="007C463A">
        <w:rPr>
          <w:bCs/>
        </w:rPr>
        <w:t>4</w:t>
      </w:r>
      <w:r w:rsidR="00EC3F19" w:rsidRPr="007C463A">
        <w:rPr>
          <w:bCs/>
        </w:rPr>
        <w:t xml:space="preserve"> proc.</w:t>
      </w:r>
      <w:r w:rsidRPr="007C463A">
        <w:rPr>
          <w:bCs/>
        </w:rPr>
        <w:t>)</w:t>
      </w:r>
      <w:r w:rsidR="002F0884" w:rsidRPr="007C463A">
        <w:rPr>
          <w:bCs/>
        </w:rPr>
        <w:t>, tuo tarpu Vilniaus ir Kauno miestuose šis rodiklis padidėjo</w:t>
      </w:r>
      <w:r w:rsidRPr="007C463A">
        <w:rPr>
          <w:bCs/>
        </w:rPr>
        <w:t>. Klaipėdos miesto rodiklis 201</w:t>
      </w:r>
      <w:r w:rsidR="00DF51BA" w:rsidRPr="007C463A">
        <w:rPr>
          <w:bCs/>
        </w:rPr>
        <w:t>7</w:t>
      </w:r>
      <w:r w:rsidRPr="007C463A">
        <w:rPr>
          <w:bCs/>
        </w:rPr>
        <w:t xml:space="preserve"> m. buvo mažesnis nei vidutiniškai šalyje ir panašus į kitų didžiųjų Lietuvos miestų (žr. </w:t>
      </w:r>
      <w:r w:rsidR="00541C8E" w:rsidRPr="007C463A">
        <w:rPr>
          <w:bCs/>
        </w:rPr>
        <w:t>3</w:t>
      </w:r>
      <w:r w:rsidRPr="007C463A">
        <w:rPr>
          <w:bCs/>
        </w:rPr>
        <w:t xml:space="preserve"> diagramą).</w:t>
      </w:r>
    </w:p>
    <w:p w:rsidR="00637704" w:rsidRPr="007C463A" w:rsidRDefault="00637704" w:rsidP="0027335B">
      <w:pPr>
        <w:ind w:firstLine="720"/>
        <w:jc w:val="both"/>
        <w:rPr>
          <w:bCs/>
        </w:rPr>
      </w:pPr>
    </w:p>
    <w:p w:rsidR="00637704" w:rsidRPr="007C463A" w:rsidRDefault="00BA3084" w:rsidP="00541C8E">
      <w:pPr>
        <w:ind w:firstLine="720"/>
        <w:jc w:val="center"/>
        <w:rPr>
          <w:bCs/>
        </w:rPr>
      </w:pPr>
      <w:r w:rsidRPr="007C463A">
        <w:rPr>
          <w:noProof/>
          <w:lang w:eastAsia="lt-LT"/>
        </w:rPr>
        <w:lastRenderedPageBreak/>
        <w:drawing>
          <wp:inline distT="0" distB="0" distL="0" distR="0" wp14:anchorId="2E8941C8" wp14:editId="329E0CAE">
            <wp:extent cx="4572000" cy="2743200"/>
            <wp:effectExtent l="0" t="0" r="0" b="0"/>
            <wp:docPr id="6" name="Diagra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7704" w:rsidRPr="007C463A" w:rsidRDefault="00541C8E" w:rsidP="00637704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3</w:t>
      </w:r>
      <w:r w:rsidR="00637704" w:rsidRPr="007C463A">
        <w:rPr>
          <w:b/>
          <w:bCs/>
          <w:sz w:val="20"/>
          <w:szCs w:val="20"/>
        </w:rPr>
        <w:t xml:space="preserve"> diagrama. Registruotų bedarbių ir darbingo amžiaus gyventojų santykis, proc. 201</w:t>
      </w:r>
      <w:r w:rsidR="002F0884" w:rsidRPr="007C463A">
        <w:rPr>
          <w:b/>
          <w:bCs/>
          <w:sz w:val="20"/>
          <w:szCs w:val="20"/>
        </w:rPr>
        <w:t>7</w:t>
      </w:r>
      <w:r w:rsidR="00637704" w:rsidRPr="007C463A">
        <w:rPr>
          <w:b/>
          <w:bCs/>
          <w:sz w:val="20"/>
          <w:szCs w:val="20"/>
        </w:rPr>
        <w:t xml:space="preserve"> m. </w:t>
      </w:r>
    </w:p>
    <w:p w:rsidR="00637704" w:rsidRPr="007C463A" w:rsidRDefault="00637704" w:rsidP="00637704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637704" w:rsidRPr="007C463A" w:rsidRDefault="00637704" w:rsidP="0027335B">
      <w:pPr>
        <w:ind w:firstLine="720"/>
        <w:jc w:val="both"/>
        <w:rPr>
          <w:bCs/>
        </w:rPr>
      </w:pPr>
    </w:p>
    <w:p w:rsidR="00541C8E" w:rsidRPr="007C463A" w:rsidRDefault="00875408" w:rsidP="0027335B">
      <w:pPr>
        <w:ind w:firstLine="720"/>
        <w:jc w:val="both"/>
        <w:rPr>
          <w:bCs/>
        </w:rPr>
      </w:pPr>
      <w:r w:rsidRPr="007C463A">
        <w:rPr>
          <w:bCs/>
        </w:rPr>
        <w:t>Klaipėdos mieste 201</w:t>
      </w:r>
      <w:r w:rsidR="00673D5D" w:rsidRPr="007C463A">
        <w:rPr>
          <w:bCs/>
        </w:rPr>
        <w:t>7</w:t>
      </w:r>
      <w:r w:rsidR="00252054" w:rsidRPr="007C463A">
        <w:rPr>
          <w:bCs/>
        </w:rPr>
        <w:t xml:space="preserve"> m.</w:t>
      </w:r>
      <w:r w:rsidR="00541C8E" w:rsidRPr="007C463A">
        <w:rPr>
          <w:bCs/>
        </w:rPr>
        <w:t xml:space="preserve"> išlik</w:t>
      </w:r>
      <w:r w:rsidRPr="007C463A">
        <w:rPr>
          <w:bCs/>
        </w:rPr>
        <w:t>o neigiamas gyventojų skaičiaus pokytis: 201</w:t>
      </w:r>
      <w:r w:rsidR="00673D5D" w:rsidRPr="007C463A">
        <w:rPr>
          <w:bCs/>
        </w:rPr>
        <w:t>7</w:t>
      </w:r>
      <w:r w:rsidRPr="007C463A">
        <w:rPr>
          <w:bCs/>
        </w:rPr>
        <w:t xml:space="preserve"> m. lyginant su 201</w:t>
      </w:r>
      <w:r w:rsidR="00673D5D" w:rsidRPr="007C463A">
        <w:rPr>
          <w:bCs/>
        </w:rPr>
        <w:t>6</w:t>
      </w:r>
      <w:r w:rsidRPr="007C463A">
        <w:rPr>
          <w:bCs/>
        </w:rPr>
        <w:t xml:space="preserve"> m. Klaipėdos mieste gyveno </w:t>
      </w:r>
      <w:r w:rsidR="005A0262" w:rsidRPr="007C463A">
        <w:rPr>
          <w:bCs/>
        </w:rPr>
        <w:t>1,77</w:t>
      </w:r>
      <w:r w:rsidRPr="007C463A">
        <w:rPr>
          <w:bCs/>
        </w:rPr>
        <w:t xml:space="preserve"> proc. mažiau gyventojų. Situacija didžiuosiuose šalies miestuose buvo panaši, gyventojų skaičius šiek tiek augo tik sostinėje (žr. 4 diagramą).</w:t>
      </w:r>
    </w:p>
    <w:p w:rsidR="00875408" w:rsidRPr="007C463A" w:rsidRDefault="00875408" w:rsidP="0027335B">
      <w:pPr>
        <w:ind w:firstLine="720"/>
        <w:jc w:val="both"/>
        <w:rPr>
          <w:bCs/>
        </w:rPr>
      </w:pPr>
    </w:p>
    <w:p w:rsidR="00920813" w:rsidRPr="007C463A" w:rsidRDefault="005A0262" w:rsidP="0027335B">
      <w:pPr>
        <w:ind w:firstLine="720"/>
        <w:jc w:val="both"/>
        <w:rPr>
          <w:bCs/>
        </w:rPr>
      </w:pPr>
      <w:r w:rsidRPr="007C463A">
        <w:rPr>
          <w:noProof/>
          <w:lang w:eastAsia="lt-LT"/>
        </w:rPr>
        <w:t xml:space="preserve"> </w:t>
      </w:r>
      <w:r w:rsidR="00920813" w:rsidRPr="007C463A">
        <w:rPr>
          <w:noProof/>
          <w:lang w:eastAsia="lt-LT"/>
        </w:rPr>
        <w:drawing>
          <wp:inline distT="0" distB="0" distL="0" distR="0" wp14:anchorId="62C8AD55" wp14:editId="0EC380AF">
            <wp:extent cx="4572000" cy="299085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20813" w:rsidRPr="007C463A" w:rsidRDefault="00920813" w:rsidP="0027335B">
      <w:pPr>
        <w:ind w:firstLine="720"/>
        <w:jc w:val="both"/>
        <w:rPr>
          <w:bCs/>
        </w:rPr>
      </w:pPr>
    </w:p>
    <w:p w:rsidR="00875408" w:rsidRPr="007C463A" w:rsidRDefault="00875408" w:rsidP="00875408">
      <w:pPr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4 diagrama. Gyventojų skaičiaus pokytis (lyginant 201</w:t>
      </w:r>
      <w:r w:rsidR="005A0262" w:rsidRPr="007C463A">
        <w:rPr>
          <w:b/>
          <w:bCs/>
          <w:sz w:val="20"/>
          <w:szCs w:val="20"/>
        </w:rPr>
        <w:t>7</w:t>
      </w:r>
      <w:r w:rsidRPr="007C463A">
        <w:rPr>
          <w:b/>
          <w:bCs/>
          <w:sz w:val="20"/>
          <w:szCs w:val="20"/>
        </w:rPr>
        <w:t xml:space="preserve"> m. su 201</w:t>
      </w:r>
      <w:r w:rsidR="005A0262" w:rsidRPr="007C463A">
        <w:rPr>
          <w:b/>
          <w:bCs/>
          <w:sz w:val="20"/>
          <w:szCs w:val="20"/>
        </w:rPr>
        <w:t>6</w:t>
      </w:r>
      <w:r w:rsidRPr="007C463A">
        <w:rPr>
          <w:b/>
          <w:bCs/>
          <w:sz w:val="20"/>
          <w:szCs w:val="20"/>
        </w:rPr>
        <w:t xml:space="preserve"> m.), proc.</w:t>
      </w:r>
    </w:p>
    <w:p w:rsidR="00875408" w:rsidRPr="007C463A" w:rsidRDefault="00875408" w:rsidP="00875408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875408" w:rsidRPr="007C463A" w:rsidRDefault="00875408" w:rsidP="00875408">
      <w:pPr>
        <w:jc w:val="center"/>
        <w:rPr>
          <w:bCs/>
          <w:sz w:val="20"/>
          <w:szCs w:val="20"/>
        </w:rPr>
      </w:pPr>
    </w:p>
    <w:p w:rsidR="00875408" w:rsidRPr="007C463A" w:rsidRDefault="00C558DC" w:rsidP="00541C8E">
      <w:pPr>
        <w:ind w:firstLine="720"/>
        <w:jc w:val="both"/>
        <w:rPr>
          <w:bCs/>
        </w:rPr>
      </w:pPr>
      <w:r w:rsidRPr="007C463A">
        <w:rPr>
          <w:bCs/>
        </w:rPr>
        <w:t>Panagrinėjus situaciją Klaipėdos regione, matyti, kad gyventojų skaičius mažėj</w:t>
      </w:r>
      <w:r w:rsidR="004238D9" w:rsidRPr="007C463A">
        <w:rPr>
          <w:bCs/>
        </w:rPr>
        <w:t xml:space="preserve">o </w:t>
      </w:r>
      <w:r w:rsidR="00E8056B" w:rsidRPr="007C463A">
        <w:rPr>
          <w:bCs/>
        </w:rPr>
        <w:t xml:space="preserve">Klaipėdos mieste, Kretingos, </w:t>
      </w:r>
      <w:r w:rsidR="00402C89" w:rsidRPr="007C463A">
        <w:rPr>
          <w:bCs/>
        </w:rPr>
        <w:t xml:space="preserve">Palangos, </w:t>
      </w:r>
      <w:r w:rsidR="00E8056B" w:rsidRPr="007C463A">
        <w:rPr>
          <w:bCs/>
        </w:rPr>
        <w:t>Skuodo ir Šilutės rajonuose. Tuo tarpu</w:t>
      </w:r>
      <w:r w:rsidRPr="007C463A">
        <w:rPr>
          <w:bCs/>
        </w:rPr>
        <w:t xml:space="preserve"> Klaipėdos rajono bei Neringos savivaldyb</w:t>
      </w:r>
      <w:r w:rsidR="00E8056B" w:rsidRPr="007C463A">
        <w:rPr>
          <w:bCs/>
        </w:rPr>
        <w:t>ė</w:t>
      </w:r>
      <w:r w:rsidRPr="007C463A">
        <w:rPr>
          <w:bCs/>
        </w:rPr>
        <w:t>s</w:t>
      </w:r>
      <w:r w:rsidR="00E8056B" w:rsidRPr="007C463A">
        <w:rPr>
          <w:bCs/>
        </w:rPr>
        <w:t>e gyventojų pokytis buvo teigiamas</w:t>
      </w:r>
      <w:r w:rsidRPr="007C463A">
        <w:rPr>
          <w:bCs/>
        </w:rPr>
        <w:t xml:space="preserve"> (žr. 5 diagramą).</w:t>
      </w:r>
    </w:p>
    <w:p w:rsidR="00C558DC" w:rsidRPr="007C463A" w:rsidRDefault="00C558DC" w:rsidP="00541C8E">
      <w:pPr>
        <w:ind w:firstLine="720"/>
        <w:jc w:val="both"/>
        <w:rPr>
          <w:bCs/>
        </w:rPr>
      </w:pPr>
    </w:p>
    <w:p w:rsidR="00920813" w:rsidRPr="007C463A" w:rsidRDefault="00E8056B" w:rsidP="00C558DC">
      <w:pPr>
        <w:jc w:val="center"/>
        <w:rPr>
          <w:b/>
          <w:bCs/>
          <w:sz w:val="20"/>
          <w:szCs w:val="20"/>
        </w:rPr>
      </w:pPr>
      <w:r w:rsidRPr="007C463A">
        <w:rPr>
          <w:noProof/>
          <w:lang w:eastAsia="lt-LT"/>
        </w:rPr>
        <w:drawing>
          <wp:inline distT="0" distB="0" distL="0" distR="0" wp14:anchorId="303C1461" wp14:editId="285CF631">
            <wp:extent cx="6368111" cy="2743200"/>
            <wp:effectExtent l="0" t="0" r="13970" b="0"/>
            <wp:docPr id="10" name="Diagrama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0813" w:rsidRPr="007C463A" w:rsidRDefault="00920813" w:rsidP="00C558DC">
      <w:pPr>
        <w:jc w:val="center"/>
        <w:rPr>
          <w:b/>
          <w:bCs/>
          <w:sz w:val="20"/>
          <w:szCs w:val="20"/>
        </w:rPr>
      </w:pPr>
    </w:p>
    <w:p w:rsidR="00C558DC" w:rsidRPr="007C463A" w:rsidRDefault="00C558DC" w:rsidP="00C558DC">
      <w:pPr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5 diagrama. Gyventojų skaičiaus pokytis Klaipėdos regiono savivaldybėse (lyginant 201</w:t>
      </w:r>
      <w:r w:rsidR="00CB2CDA" w:rsidRPr="007C463A">
        <w:rPr>
          <w:b/>
          <w:bCs/>
          <w:sz w:val="20"/>
          <w:szCs w:val="20"/>
        </w:rPr>
        <w:t>7</w:t>
      </w:r>
      <w:r w:rsidRPr="007C463A">
        <w:rPr>
          <w:b/>
          <w:bCs/>
          <w:sz w:val="20"/>
          <w:szCs w:val="20"/>
        </w:rPr>
        <w:t xml:space="preserve"> m. su 201</w:t>
      </w:r>
      <w:r w:rsidR="00CB2CDA" w:rsidRPr="007C463A">
        <w:rPr>
          <w:b/>
          <w:bCs/>
          <w:sz w:val="20"/>
          <w:szCs w:val="20"/>
        </w:rPr>
        <w:t>8</w:t>
      </w:r>
      <w:r w:rsidRPr="007C463A">
        <w:rPr>
          <w:b/>
          <w:bCs/>
          <w:sz w:val="20"/>
          <w:szCs w:val="20"/>
        </w:rPr>
        <w:t xml:space="preserve"> m.), proc.</w:t>
      </w:r>
    </w:p>
    <w:p w:rsidR="00C558DC" w:rsidRPr="007C463A" w:rsidRDefault="00C558DC" w:rsidP="00C558DC">
      <w:pPr>
        <w:ind w:firstLine="720"/>
        <w:jc w:val="center"/>
        <w:rPr>
          <w:b/>
          <w:bCs/>
          <w:sz w:val="20"/>
          <w:szCs w:val="20"/>
        </w:rPr>
      </w:pPr>
      <w:r w:rsidRPr="007C463A">
        <w:rPr>
          <w:b/>
          <w:bCs/>
          <w:sz w:val="20"/>
          <w:szCs w:val="20"/>
        </w:rPr>
        <w:t>Duomenų šaltinis – Statistikos departamentas prie Lietuvos Respublikos Vyriausybės</w:t>
      </w:r>
    </w:p>
    <w:p w:rsidR="00C558DC" w:rsidRPr="007C463A" w:rsidRDefault="00C558DC" w:rsidP="00541C8E">
      <w:pPr>
        <w:ind w:firstLine="720"/>
        <w:jc w:val="both"/>
        <w:rPr>
          <w:bCs/>
        </w:rPr>
      </w:pPr>
    </w:p>
    <w:p w:rsidR="004238D9" w:rsidRPr="007C463A" w:rsidRDefault="004238D9" w:rsidP="000D7670">
      <w:pPr>
        <w:ind w:firstLine="720"/>
        <w:jc w:val="both"/>
        <w:rPr>
          <w:bCs/>
        </w:rPr>
      </w:pPr>
      <w:r w:rsidRPr="007C463A">
        <w:rPr>
          <w:bCs/>
        </w:rPr>
        <w:t>Gyventojų skaičiaus mažėjimą lemia migracija bei neigiama natūrali gyventojų kaita. 201</w:t>
      </w:r>
      <w:r w:rsidR="00CB2CDA" w:rsidRPr="007C463A">
        <w:rPr>
          <w:bCs/>
        </w:rPr>
        <w:t>7</w:t>
      </w:r>
      <w:r w:rsidRPr="007C463A">
        <w:rPr>
          <w:bCs/>
        </w:rPr>
        <w:t xml:space="preserve"> m. </w:t>
      </w:r>
      <w:r w:rsidR="002E1CB9" w:rsidRPr="007C463A">
        <w:rPr>
          <w:bCs/>
        </w:rPr>
        <w:t xml:space="preserve">Klaipėdos m. savivaldybėje </w:t>
      </w:r>
      <w:r w:rsidRPr="007C463A">
        <w:rPr>
          <w:bCs/>
        </w:rPr>
        <w:t>neto migracija</w:t>
      </w:r>
      <w:r w:rsidR="000D7670" w:rsidRPr="007C463A">
        <w:rPr>
          <w:bCs/>
        </w:rPr>
        <w:t xml:space="preserve"> (tarptautinė ir vidinė)</w:t>
      </w:r>
      <w:r w:rsidRPr="007C463A">
        <w:rPr>
          <w:bCs/>
        </w:rPr>
        <w:t xml:space="preserve"> buvo </w:t>
      </w:r>
      <w:r w:rsidR="00310505" w:rsidRPr="007C463A">
        <w:t>-2 078</w:t>
      </w:r>
      <w:r w:rsidRPr="007C463A">
        <w:rPr>
          <w:bCs/>
        </w:rPr>
        <w:t>, natūral</w:t>
      </w:r>
      <w:r w:rsidR="00E8056B" w:rsidRPr="007C463A">
        <w:rPr>
          <w:bCs/>
        </w:rPr>
        <w:t xml:space="preserve">i </w:t>
      </w:r>
      <w:r w:rsidRPr="007C463A">
        <w:rPr>
          <w:bCs/>
        </w:rPr>
        <w:t xml:space="preserve">gyventojų </w:t>
      </w:r>
      <w:r w:rsidR="00DD1417" w:rsidRPr="007C463A">
        <w:rPr>
          <w:bCs/>
        </w:rPr>
        <w:t>kaita</w:t>
      </w:r>
      <w:r w:rsidRPr="007C463A">
        <w:rPr>
          <w:bCs/>
        </w:rPr>
        <w:t xml:space="preserve"> </w:t>
      </w:r>
      <w:r w:rsidR="00E8056B" w:rsidRPr="007C463A">
        <w:rPr>
          <w:bCs/>
        </w:rPr>
        <w:t>201</w:t>
      </w:r>
      <w:r w:rsidR="00310505" w:rsidRPr="007C463A">
        <w:rPr>
          <w:bCs/>
        </w:rPr>
        <w:t>7</w:t>
      </w:r>
      <w:r w:rsidR="001747F6" w:rsidRPr="007C463A">
        <w:rPr>
          <w:bCs/>
        </w:rPr>
        <w:t xml:space="preserve"> m. sudarė </w:t>
      </w:r>
      <w:r w:rsidR="00310505" w:rsidRPr="007C463A">
        <w:t>-323</w:t>
      </w:r>
      <w:r w:rsidR="00E8056B" w:rsidRPr="007C463A">
        <w:rPr>
          <w:bCs/>
        </w:rPr>
        <w:t>.</w:t>
      </w:r>
    </w:p>
    <w:p w:rsidR="00541C8E" w:rsidRPr="007C463A" w:rsidRDefault="00192E04" w:rsidP="00541C8E">
      <w:pPr>
        <w:ind w:firstLine="720"/>
        <w:jc w:val="both"/>
        <w:rPr>
          <w:bCs/>
        </w:rPr>
      </w:pPr>
      <w:r w:rsidRPr="007C463A">
        <w:rPr>
          <w:bCs/>
        </w:rPr>
        <w:t>Pagerėjo v</w:t>
      </w:r>
      <w:r w:rsidR="00541C8E" w:rsidRPr="007C463A">
        <w:rPr>
          <w:bCs/>
        </w:rPr>
        <w:t>idutinės tikė</w:t>
      </w:r>
      <w:r w:rsidRPr="007C463A">
        <w:rPr>
          <w:bCs/>
        </w:rPr>
        <w:t xml:space="preserve">tinos gyvenimo trukmės rodiklis </w:t>
      </w:r>
      <w:r w:rsidR="00B377F5" w:rsidRPr="007C463A">
        <w:rPr>
          <w:bCs/>
        </w:rPr>
        <w:t>–</w:t>
      </w:r>
      <w:r w:rsidRPr="007C463A">
        <w:rPr>
          <w:bCs/>
        </w:rPr>
        <w:t xml:space="preserve"> 201</w:t>
      </w:r>
      <w:r w:rsidR="000D1C97" w:rsidRPr="007C463A">
        <w:rPr>
          <w:bCs/>
        </w:rPr>
        <w:t>7</w:t>
      </w:r>
      <w:r w:rsidRPr="007C463A">
        <w:rPr>
          <w:bCs/>
        </w:rPr>
        <w:t xml:space="preserve"> m.</w:t>
      </w:r>
      <w:r w:rsidR="00502ECD" w:rsidRPr="007C463A">
        <w:rPr>
          <w:bCs/>
        </w:rPr>
        <w:t xml:space="preserve"> </w:t>
      </w:r>
      <w:r w:rsidRPr="007C463A">
        <w:rPr>
          <w:bCs/>
        </w:rPr>
        <w:t>jis siekė</w:t>
      </w:r>
      <w:r w:rsidR="000D1C97" w:rsidRPr="007C463A">
        <w:rPr>
          <w:bCs/>
        </w:rPr>
        <w:t xml:space="preserve"> </w:t>
      </w:r>
      <w:r w:rsidR="000D1C97" w:rsidRPr="007C463A">
        <w:t>76,38</w:t>
      </w:r>
      <w:r w:rsidR="00541C8E" w:rsidRPr="007C463A">
        <w:rPr>
          <w:bCs/>
        </w:rPr>
        <w:t xml:space="preserve"> </w:t>
      </w:r>
      <w:r w:rsidR="000D1C97" w:rsidRPr="007C463A">
        <w:rPr>
          <w:bCs/>
        </w:rPr>
        <w:t xml:space="preserve">m. </w:t>
      </w:r>
      <w:r w:rsidR="00541C8E" w:rsidRPr="007C463A">
        <w:rPr>
          <w:bCs/>
        </w:rPr>
        <w:t>(201</w:t>
      </w:r>
      <w:r w:rsidR="000D1C97" w:rsidRPr="007C463A">
        <w:rPr>
          <w:bCs/>
        </w:rPr>
        <w:t>6</w:t>
      </w:r>
      <w:r w:rsidR="00541C8E" w:rsidRPr="007C463A">
        <w:rPr>
          <w:bCs/>
        </w:rPr>
        <w:t xml:space="preserve"> m. – </w:t>
      </w:r>
      <w:r w:rsidR="000D1C97" w:rsidRPr="007C463A">
        <w:t>75,57</w:t>
      </w:r>
      <w:r w:rsidRPr="007C463A">
        <w:rPr>
          <w:bCs/>
        </w:rPr>
        <w:t>).</w:t>
      </w:r>
    </w:p>
    <w:p w:rsidR="00A2608A" w:rsidRPr="007C463A" w:rsidRDefault="00A2608A" w:rsidP="0027335B">
      <w:pPr>
        <w:ind w:firstLine="720"/>
        <w:jc w:val="both"/>
        <w:rPr>
          <w:bCs/>
        </w:rPr>
      </w:pPr>
      <w:r w:rsidRPr="007C463A">
        <w:rPr>
          <w:b/>
          <w:bCs/>
        </w:rPr>
        <w:t>2) Tikslų ir uždavinių rodiklių</w:t>
      </w:r>
      <w:r w:rsidRPr="007C463A">
        <w:rPr>
          <w:bCs/>
        </w:rPr>
        <w:t xml:space="preserve"> reikšmės yra pateikiamos sprendimo projekto 1 priede. </w:t>
      </w:r>
    </w:p>
    <w:p w:rsidR="00192E04" w:rsidRPr="007C463A" w:rsidRDefault="00192E04" w:rsidP="0027335B">
      <w:pPr>
        <w:ind w:firstLine="720"/>
        <w:jc w:val="both"/>
        <w:rPr>
          <w:bCs/>
        </w:rPr>
      </w:pPr>
    </w:p>
    <w:p w:rsidR="00A2608A" w:rsidRPr="007C463A" w:rsidRDefault="00A2608A" w:rsidP="0027335B">
      <w:pPr>
        <w:ind w:firstLine="720"/>
        <w:jc w:val="both"/>
        <w:rPr>
          <w:b/>
          <w:bCs/>
        </w:rPr>
      </w:pPr>
      <w:r w:rsidRPr="007C463A">
        <w:rPr>
          <w:b/>
          <w:bCs/>
        </w:rPr>
        <w:t xml:space="preserve">3) Priemonių rodikliai. </w:t>
      </w:r>
    </w:p>
    <w:p w:rsidR="00F94F16" w:rsidRPr="007C463A" w:rsidRDefault="00F94F16" w:rsidP="002A4B9D">
      <w:pPr>
        <w:jc w:val="both"/>
        <w:rPr>
          <w:sz w:val="8"/>
          <w:szCs w:val="8"/>
        </w:rPr>
      </w:pPr>
    </w:p>
    <w:p w:rsidR="009E1DA0" w:rsidRPr="007C463A" w:rsidRDefault="00F90728" w:rsidP="009E1DA0">
      <w:pPr>
        <w:ind w:firstLine="720"/>
        <w:jc w:val="both"/>
      </w:pPr>
      <w:r w:rsidRPr="007C463A">
        <w:t>Lentelėje p</w:t>
      </w:r>
      <w:r w:rsidR="00F94F16" w:rsidRPr="007C463A">
        <w:t>ateikiamas 20</w:t>
      </w:r>
      <w:r w:rsidR="004C3370" w:rsidRPr="007C463A">
        <w:t>1</w:t>
      </w:r>
      <w:r w:rsidR="009E1DA0" w:rsidRPr="007C463A">
        <w:t>7</w:t>
      </w:r>
      <w:r w:rsidR="00F94F16" w:rsidRPr="007C463A">
        <w:t xml:space="preserve"> m. KSP </w:t>
      </w:r>
      <w:r w:rsidR="000572F9" w:rsidRPr="007C463A">
        <w:t xml:space="preserve">prioritetų </w:t>
      </w:r>
      <w:r w:rsidR="00892152" w:rsidRPr="007C463A">
        <w:t>įgyvendini</w:t>
      </w:r>
      <w:r w:rsidR="00A2608A" w:rsidRPr="007C463A">
        <w:t>mo lygis pagal vertinamų priemonių skaičių</w:t>
      </w:r>
      <w:r w:rsidR="0046387C" w:rsidRPr="007C463A">
        <w:t>.</w:t>
      </w:r>
      <w:r w:rsidR="009E1DA0" w:rsidRPr="007C463A">
        <w:t xml:space="preserve"> Iš viso 2017 m. pagal KSP suplanuotus terminus buvo įgyvendinta </w:t>
      </w:r>
      <w:r w:rsidR="0026032B" w:rsidRPr="007C463A">
        <w:t>6,8</w:t>
      </w:r>
      <w:r w:rsidR="009E1DA0" w:rsidRPr="007C463A">
        <w:t xml:space="preserve"> proc., vykdoma </w:t>
      </w:r>
      <w:r w:rsidR="0026032B" w:rsidRPr="007C463A">
        <w:t>89,6</w:t>
      </w:r>
      <w:r w:rsidR="009E1DA0" w:rsidRPr="007C463A">
        <w:t xml:space="preserve"> proc., nevykdoma </w:t>
      </w:r>
      <w:r w:rsidR="0026032B" w:rsidRPr="007C463A">
        <w:t>3</w:t>
      </w:r>
      <w:r w:rsidR="009E1DA0" w:rsidRPr="007C463A">
        <w:t>,6 proc. KSP priemonių. Plano vykdymo rezultatai, palyginus su 201</w:t>
      </w:r>
      <w:r w:rsidR="0046387C" w:rsidRPr="007C463A">
        <w:t>6</w:t>
      </w:r>
      <w:r w:rsidR="009E1DA0" w:rsidRPr="007C463A">
        <w:t xml:space="preserve"> m., yra pagerėję (201</w:t>
      </w:r>
      <w:r w:rsidR="0046387C" w:rsidRPr="007C463A">
        <w:t>6</w:t>
      </w:r>
      <w:r w:rsidR="009E1DA0" w:rsidRPr="007C463A">
        <w:t xml:space="preserve"> m. buvo įgyvendinta 4</w:t>
      </w:r>
      <w:r w:rsidR="0046387C" w:rsidRPr="007C463A">
        <w:t>,</w:t>
      </w:r>
      <w:r w:rsidR="0026032B" w:rsidRPr="007C463A">
        <w:t>8</w:t>
      </w:r>
      <w:r w:rsidR="009E1DA0" w:rsidRPr="007C463A">
        <w:t xml:space="preserve"> proc., vykdoma </w:t>
      </w:r>
      <w:r w:rsidR="0026032B" w:rsidRPr="007C463A">
        <w:t>89,6</w:t>
      </w:r>
      <w:r w:rsidR="009E1DA0" w:rsidRPr="007C463A">
        <w:t xml:space="preserve"> proc., nevykdoma </w:t>
      </w:r>
      <w:r w:rsidR="0046387C" w:rsidRPr="007C463A">
        <w:t>5,6</w:t>
      </w:r>
      <w:r w:rsidR="009E1DA0" w:rsidRPr="007C463A">
        <w:t xml:space="preserve"> proc. priemonių)</w:t>
      </w:r>
      <w:r w:rsidR="0046387C" w:rsidRPr="007C463A">
        <w:t>.</w:t>
      </w:r>
    </w:p>
    <w:p w:rsidR="00F94F16" w:rsidRPr="007C463A" w:rsidRDefault="00F94F16" w:rsidP="00085947">
      <w:pPr>
        <w:ind w:firstLine="720"/>
        <w:jc w:val="both"/>
      </w:pPr>
    </w:p>
    <w:p w:rsidR="009E1DA0" w:rsidRPr="007C463A" w:rsidRDefault="009E1DA0" w:rsidP="00085947">
      <w:pPr>
        <w:ind w:firstLine="720"/>
        <w:jc w:val="both"/>
      </w:pPr>
      <w:r w:rsidRPr="007C463A">
        <w:tab/>
      </w:r>
      <w:r w:rsidRPr="007C463A">
        <w:tab/>
      </w:r>
      <w:r w:rsidRPr="007C463A">
        <w:tab/>
      </w:r>
      <w:r w:rsidRPr="007C463A">
        <w:tab/>
      </w:r>
      <w:r w:rsidRPr="007C463A">
        <w:tab/>
        <w:t>1 lentelė</w:t>
      </w:r>
    </w:p>
    <w:p w:rsidR="00F94F16" w:rsidRPr="007C463A" w:rsidRDefault="00F94F16" w:rsidP="00085947">
      <w:pPr>
        <w:ind w:firstLine="720"/>
        <w:jc w:val="both"/>
        <w:rPr>
          <w:sz w:val="8"/>
          <w:szCs w:val="8"/>
        </w:rPr>
      </w:pPr>
    </w:p>
    <w:tbl>
      <w:tblPr>
        <w:tblW w:w="7006" w:type="dxa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865"/>
        <w:gridCol w:w="1062"/>
        <w:gridCol w:w="781"/>
        <w:gridCol w:w="1042"/>
        <w:gridCol w:w="658"/>
      </w:tblGrid>
      <w:tr w:rsidR="007C463A" w:rsidRPr="007C463A" w:rsidTr="005E1CA2">
        <w:tc>
          <w:tcPr>
            <w:tcW w:w="2598" w:type="dxa"/>
          </w:tcPr>
          <w:p w:rsidR="002B72A9" w:rsidRPr="007C463A" w:rsidRDefault="002B72A9" w:rsidP="002D1B06">
            <w:pPr>
              <w:jc w:val="center"/>
              <w:rPr>
                <w:b/>
              </w:rPr>
            </w:pPr>
            <w:r w:rsidRPr="007C463A">
              <w:rPr>
                <w:b/>
              </w:rPr>
              <w:t>Prioritetai</w:t>
            </w:r>
          </w:p>
        </w:tc>
        <w:tc>
          <w:tcPr>
            <w:tcW w:w="865" w:type="dxa"/>
          </w:tcPr>
          <w:p w:rsidR="002B72A9" w:rsidRPr="007C463A" w:rsidRDefault="002B72A9" w:rsidP="002D1B06">
            <w:pPr>
              <w:jc w:val="center"/>
              <w:rPr>
                <w:b/>
              </w:rPr>
            </w:pPr>
            <w:r w:rsidRPr="007C463A">
              <w:rPr>
                <w:b/>
              </w:rPr>
              <w:t xml:space="preserve">I </w:t>
            </w:r>
          </w:p>
        </w:tc>
        <w:tc>
          <w:tcPr>
            <w:tcW w:w="1062" w:type="dxa"/>
          </w:tcPr>
          <w:p w:rsidR="002B72A9" w:rsidRPr="007C463A" w:rsidRDefault="002B72A9" w:rsidP="002D1B06">
            <w:pPr>
              <w:jc w:val="center"/>
              <w:rPr>
                <w:b/>
              </w:rPr>
            </w:pPr>
            <w:r w:rsidRPr="007C463A">
              <w:rPr>
                <w:b/>
              </w:rPr>
              <w:t xml:space="preserve">II </w:t>
            </w:r>
          </w:p>
        </w:tc>
        <w:tc>
          <w:tcPr>
            <w:tcW w:w="781" w:type="dxa"/>
          </w:tcPr>
          <w:p w:rsidR="002B72A9" w:rsidRPr="007C463A" w:rsidRDefault="002B72A9" w:rsidP="002D1B06">
            <w:pPr>
              <w:jc w:val="center"/>
              <w:rPr>
                <w:b/>
              </w:rPr>
            </w:pPr>
            <w:r w:rsidRPr="007C463A">
              <w:rPr>
                <w:b/>
              </w:rPr>
              <w:t xml:space="preserve">III </w:t>
            </w:r>
          </w:p>
        </w:tc>
        <w:tc>
          <w:tcPr>
            <w:tcW w:w="1042" w:type="dxa"/>
          </w:tcPr>
          <w:p w:rsidR="002B72A9" w:rsidRPr="007C463A" w:rsidRDefault="002B72A9" w:rsidP="002D1B06">
            <w:pPr>
              <w:jc w:val="center"/>
              <w:rPr>
                <w:b/>
              </w:rPr>
            </w:pPr>
            <w:r w:rsidRPr="007C463A">
              <w:rPr>
                <w:b/>
              </w:rPr>
              <w:t>Iš viso</w:t>
            </w:r>
          </w:p>
        </w:tc>
        <w:tc>
          <w:tcPr>
            <w:tcW w:w="658" w:type="dxa"/>
          </w:tcPr>
          <w:p w:rsidR="002B72A9" w:rsidRPr="007C463A" w:rsidRDefault="002B72A9" w:rsidP="002D1B06">
            <w:pPr>
              <w:jc w:val="center"/>
              <w:rPr>
                <w:b/>
                <w:i/>
                <w:lang w:val="en-US"/>
              </w:rPr>
            </w:pPr>
            <w:r w:rsidRPr="007C463A">
              <w:rPr>
                <w:b/>
                <w:i/>
                <w:lang w:val="en-US"/>
              </w:rPr>
              <w:t>%</w:t>
            </w:r>
          </w:p>
        </w:tc>
      </w:tr>
      <w:tr w:rsidR="007C463A" w:rsidRPr="007C463A" w:rsidTr="005E1CA2">
        <w:tc>
          <w:tcPr>
            <w:tcW w:w="2598" w:type="dxa"/>
            <w:tcBorders>
              <w:bottom w:val="single" w:sz="4" w:space="0" w:color="auto"/>
            </w:tcBorders>
          </w:tcPr>
          <w:p w:rsidR="0076748F" w:rsidRPr="007C463A" w:rsidRDefault="0076748F" w:rsidP="00673D5D">
            <w:pPr>
              <w:jc w:val="center"/>
              <w:rPr>
                <w:b/>
              </w:rPr>
            </w:pPr>
            <w:r w:rsidRPr="007C463A">
              <w:rPr>
                <w:b/>
              </w:rPr>
              <w:t>Suplanuotos priemonės 201</w:t>
            </w:r>
            <w:r w:rsidR="00673D5D" w:rsidRPr="007C463A">
              <w:rPr>
                <w:b/>
              </w:rPr>
              <w:t>7</w:t>
            </w:r>
            <w:r w:rsidRPr="007C463A">
              <w:rPr>
                <w:b/>
              </w:rPr>
              <w:t xml:space="preserve"> m.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48F" w:rsidRPr="007C463A" w:rsidRDefault="00971058" w:rsidP="0076748F">
            <w:pPr>
              <w:jc w:val="center"/>
              <w:rPr>
                <w:b/>
                <w:bCs/>
                <w:lang w:eastAsia="lt-LT"/>
              </w:rPr>
            </w:pPr>
            <w:r w:rsidRPr="007C463A">
              <w:rPr>
                <w:b/>
                <w:bCs/>
                <w:lang w:eastAsia="lt-LT"/>
              </w:rPr>
              <w:t>99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76748F" w:rsidRPr="007C463A" w:rsidRDefault="00971058" w:rsidP="0076748F">
            <w:pPr>
              <w:jc w:val="center"/>
              <w:rPr>
                <w:b/>
              </w:rPr>
            </w:pPr>
            <w:r w:rsidRPr="007C463A">
              <w:rPr>
                <w:b/>
              </w:rPr>
              <w:t>84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76748F" w:rsidRPr="007C463A" w:rsidRDefault="009E1DA0" w:rsidP="0076748F">
            <w:pPr>
              <w:jc w:val="center"/>
              <w:rPr>
                <w:b/>
              </w:rPr>
            </w:pPr>
            <w:r w:rsidRPr="007C463A">
              <w:rPr>
                <w:b/>
              </w:rPr>
              <w:t>67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76748F" w:rsidRPr="007C463A" w:rsidRDefault="00971058" w:rsidP="0076748F">
            <w:pPr>
              <w:jc w:val="center"/>
              <w:rPr>
                <w:b/>
              </w:rPr>
            </w:pPr>
            <w:r w:rsidRPr="007C463A">
              <w:rPr>
                <w:b/>
              </w:rPr>
              <w:t>250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6748F" w:rsidRPr="007C463A" w:rsidRDefault="000B5936" w:rsidP="0076748F">
            <w:pPr>
              <w:jc w:val="center"/>
              <w:rPr>
                <w:b/>
              </w:rPr>
            </w:pPr>
            <w:r w:rsidRPr="007C463A">
              <w:rPr>
                <w:b/>
              </w:rPr>
              <w:t>100</w:t>
            </w:r>
          </w:p>
        </w:tc>
      </w:tr>
      <w:tr w:rsidR="007C463A" w:rsidRPr="007C463A" w:rsidTr="005E1CA2">
        <w:tc>
          <w:tcPr>
            <w:tcW w:w="2598" w:type="dxa"/>
            <w:shd w:val="clear" w:color="auto" w:fill="CCFFCC"/>
          </w:tcPr>
          <w:p w:rsidR="00B377F5" w:rsidRPr="007C463A" w:rsidRDefault="00B377F5" w:rsidP="0076748F">
            <w:pPr>
              <w:jc w:val="both"/>
              <w:rPr>
                <w:i/>
                <w:lang w:val="en-US"/>
              </w:rPr>
            </w:pPr>
            <w:r w:rsidRPr="007C463A">
              <w:t>Įgyvendinta priemonių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B377F5" w:rsidRPr="007C463A" w:rsidRDefault="00971058" w:rsidP="0076748F">
            <w:pPr>
              <w:jc w:val="center"/>
            </w:pPr>
            <w:r w:rsidRPr="007C463A">
              <w:t>7</w:t>
            </w:r>
          </w:p>
        </w:tc>
        <w:tc>
          <w:tcPr>
            <w:tcW w:w="1062" w:type="dxa"/>
            <w:shd w:val="clear" w:color="auto" w:fill="CCFFCC"/>
          </w:tcPr>
          <w:p w:rsidR="00B377F5" w:rsidRPr="007C463A" w:rsidRDefault="009E1DA0" w:rsidP="0076748F">
            <w:pPr>
              <w:jc w:val="center"/>
            </w:pPr>
            <w:r w:rsidRPr="007C463A">
              <w:t>5</w:t>
            </w:r>
          </w:p>
        </w:tc>
        <w:tc>
          <w:tcPr>
            <w:tcW w:w="781" w:type="dxa"/>
            <w:shd w:val="clear" w:color="auto" w:fill="CCFFCC"/>
          </w:tcPr>
          <w:p w:rsidR="00B377F5" w:rsidRPr="007C463A" w:rsidRDefault="009E1DA0" w:rsidP="0076748F">
            <w:pPr>
              <w:jc w:val="center"/>
            </w:pPr>
            <w:r w:rsidRPr="007C463A">
              <w:t>5</w:t>
            </w:r>
          </w:p>
        </w:tc>
        <w:tc>
          <w:tcPr>
            <w:tcW w:w="1042" w:type="dxa"/>
            <w:shd w:val="clear" w:color="auto" w:fill="CCFFCC"/>
          </w:tcPr>
          <w:p w:rsidR="00B377F5" w:rsidRPr="007C463A" w:rsidRDefault="000B5936" w:rsidP="0076748F">
            <w:pPr>
              <w:jc w:val="center"/>
            </w:pPr>
            <w:r w:rsidRPr="007C463A">
              <w:t>17</w:t>
            </w:r>
          </w:p>
        </w:tc>
        <w:tc>
          <w:tcPr>
            <w:tcW w:w="658" w:type="dxa"/>
            <w:shd w:val="clear" w:color="auto" w:fill="CCFFCC"/>
            <w:vAlign w:val="center"/>
          </w:tcPr>
          <w:p w:rsidR="00B377F5" w:rsidRPr="007C463A" w:rsidRDefault="000B5936" w:rsidP="00B173CB">
            <w:pPr>
              <w:jc w:val="center"/>
              <w:rPr>
                <w:b/>
              </w:rPr>
            </w:pPr>
            <w:r w:rsidRPr="007C463A">
              <w:rPr>
                <w:b/>
              </w:rPr>
              <w:t>6,8</w:t>
            </w:r>
          </w:p>
        </w:tc>
      </w:tr>
      <w:tr w:rsidR="007C463A" w:rsidRPr="007C463A" w:rsidTr="005E1CA2">
        <w:trPr>
          <w:trHeight w:val="297"/>
        </w:trPr>
        <w:tc>
          <w:tcPr>
            <w:tcW w:w="2598" w:type="dxa"/>
            <w:tcBorders>
              <w:bottom w:val="single" w:sz="4" w:space="0" w:color="auto"/>
            </w:tcBorders>
          </w:tcPr>
          <w:p w:rsidR="00B377F5" w:rsidRPr="007C463A" w:rsidRDefault="00B377F5" w:rsidP="0076748F">
            <w:pPr>
              <w:jc w:val="both"/>
            </w:pPr>
            <w:r w:rsidRPr="007C463A">
              <w:t>Vykdoma priemonių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7F5" w:rsidRPr="007C463A" w:rsidRDefault="00971058" w:rsidP="00740878">
            <w:pPr>
              <w:jc w:val="center"/>
            </w:pPr>
            <w:r w:rsidRPr="007C463A">
              <w:t>92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B377F5" w:rsidRPr="007C463A" w:rsidRDefault="009E1DA0" w:rsidP="0076748F">
            <w:pPr>
              <w:jc w:val="center"/>
            </w:pPr>
            <w:r w:rsidRPr="007C463A">
              <w:t>74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B377F5" w:rsidRPr="007C463A" w:rsidRDefault="009E1DA0" w:rsidP="00081BCF">
            <w:pPr>
              <w:jc w:val="center"/>
            </w:pPr>
            <w:r w:rsidRPr="007C463A">
              <w:t>58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377F5" w:rsidRPr="007C463A" w:rsidRDefault="000B5936" w:rsidP="0076748F">
            <w:pPr>
              <w:jc w:val="center"/>
            </w:pPr>
            <w:r w:rsidRPr="007C463A">
              <w:t>224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377F5" w:rsidRPr="007C463A" w:rsidRDefault="000B5936" w:rsidP="00454E0E">
            <w:pPr>
              <w:jc w:val="center"/>
              <w:rPr>
                <w:b/>
              </w:rPr>
            </w:pPr>
            <w:r w:rsidRPr="007C463A">
              <w:rPr>
                <w:b/>
              </w:rPr>
              <w:t>89,6</w:t>
            </w:r>
          </w:p>
        </w:tc>
      </w:tr>
      <w:tr w:rsidR="007C463A" w:rsidRPr="007C463A" w:rsidTr="005E1CA2">
        <w:tc>
          <w:tcPr>
            <w:tcW w:w="2598" w:type="dxa"/>
            <w:tcBorders>
              <w:bottom w:val="single" w:sz="4" w:space="0" w:color="auto"/>
            </w:tcBorders>
            <w:shd w:val="clear" w:color="auto" w:fill="E6B6D5"/>
          </w:tcPr>
          <w:p w:rsidR="00B377F5" w:rsidRPr="007C463A" w:rsidRDefault="00B377F5" w:rsidP="0076748F">
            <w:pPr>
              <w:jc w:val="both"/>
            </w:pPr>
            <w:r w:rsidRPr="007C463A">
              <w:t>Nevykdoma priemonių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6D5"/>
          </w:tcPr>
          <w:p w:rsidR="00B377F5" w:rsidRPr="007C463A" w:rsidRDefault="00971058" w:rsidP="0076748F">
            <w:pPr>
              <w:jc w:val="center"/>
            </w:pPr>
            <w:r w:rsidRPr="007C463A">
              <w:t>0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E6B6D5"/>
          </w:tcPr>
          <w:p w:rsidR="00B377F5" w:rsidRPr="007C463A" w:rsidRDefault="009E1DA0" w:rsidP="0076748F">
            <w:pPr>
              <w:jc w:val="center"/>
            </w:pPr>
            <w:r w:rsidRPr="007C463A">
              <w:t>5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E6B6D5"/>
          </w:tcPr>
          <w:p w:rsidR="00B377F5" w:rsidRPr="007C463A" w:rsidRDefault="009E1DA0" w:rsidP="0076748F">
            <w:pPr>
              <w:jc w:val="center"/>
            </w:pPr>
            <w:r w:rsidRPr="007C463A">
              <w:t>4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E6B6D5"/>
          </w:tcPr>
          <w:p w:rsidR="00B377F5" w:rsidRPr="007C463A" w:rsidRDefault="000B5936" w:rsidP="009A14F9">
            <w:pPr>
              <w:jc w:val="center"/>
            </w:pPr>
            <w:r w:rsidRPr="007C463A">
              <w:t>9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E6B6D5"/>
            <w:vAlign w:val="center"/>
          </w:tcPr>
          <w:p w:rsidR="00B377F5" w:rsidRPr="007C463A" w:rsidRDefault="000B5936" w:rsidP="00B173CB">
            <w:pPr>
              <w:jc w:val="center"/>
              <w:rPr>
                <w:b/>
              </w:rPr>
            </w:pPr>
            <w:r w:rsidRPr="007C463A">
              <w:rPr>
                <w:b/>
              </w:rPr>
              <w:t>3,6</w:t>
            </w:r>
          </w:p>
        </w:tc>
      </w:tr>
    </w:tbl>
    <w:p w:rsidR="00227E3D" w:rsidRPr="007C463A" w:rsidRDefault="00227E3D" w:rsidP="00085947">
      <w:pPr>
        <w:ind w:firstLine="720"/>
        <w:jc w:val="both"/>
      </w:pPr>
    </w:p>
    <w:p w:rsidR="00A2608A" w:rsidRPr="007C463A" w:rsidRDefault="00A2608A" w:rsidP="00314EA2">
      <w:pPr>
        <w:ind w:firstLine="720"/>
        <w:jc w:val="both"/>
      </w:pPr>
    </w:p>
    <w:p w:rsidR="00463058" w:rsidRPr="007C463A" w:rsidRDefault="00463058" w:rsidP="00463058">
      <w:pPr>
        <w:ind w:firstLine="720"/>
        <w:jc w:val="both"/>
      </w:pPr>
      <w:r w:rsidRPr="007C463A">
        <w:rPr>
          <w:b/>
        </w:rPr>
        <w:t>Trumpas neįvykdytų KSP priemonių aprašymas</w:t>
      </w:r>
      <w:r w:rsidRPr="007C463A">
        <w:t xml:space="preserve"> </w:t>
      </w:r>
    </w:p>
    <w:p w:rsidR="00463058" w:rsidRPr="007C463A" w:rsidRDefault="00463058" w:rsidP="00463058">
      <w:pPr>
        <w:ind w:firstLine="720"/>
        <w:jc w:val="both"/>
      </w:pPr>
      <w:r w:rsidRPr="007C463A">
        <w:t>Dauguma Klaipėdos miesto savivaldybės 2013–2020 m. plano nevykdom</w:t>
      </w:r>
      <w:r w:rsidR="00502ECD" w:rsidRPr="007C463A">
        <w:t>ų</w:t>
      </w:r>
      <w:r w:rsidRPr="007C463A">
        <w:t xml:space="preserve"> priemon</w:t>
      </w:r>
      <w:r w:rsidR="00502ECD" w:rsidRPr="007C463A">
        <w:t>ių</w:t>
      </w:r>
      <w:r w:rsidRPr="007C463A">
        <w:t xml:space="preserve"> atidėtos vėlesniam laikotarpiui.</w:t>
      </w:r>
    </w:p>
    <w:p w:rsidR="004D64AD" w:rsidRPr="007C463A" w:rsidRDefault="00F94F16" w:rsidP="00BD399F">
      <w:pPr>
        <w:ind w:firstLine="720"/>
        <w:jc w:val="both"/>
        <w:rPr>
          <w:b/>
        </w:rPr>
      </w:pPr>
      <w:r w:rsidRPr="007C463A">
        <w:rPr>
          <w:b/>
        </w:rPr>
        <w:t>II prioritetas</w:t>
      </w:r>
      <w:r w:rsidR="009045DE" w:rsidRPr="007C463A">
        <w:rPr>
          <w:b/>
        </w:rPr>
        <w:t xml:space="preserve"> (nevykdom</w:t>
      </w:r>
      <w:r w:rsidR="00C8655A" w:rsidRPr="007C463A">
        <w:rPr>
          <w:b/>
        </w:rPr>
        <w:t>os</w:t>
      </w:r>
      <w:r w:rsidR="00A21821" w:rsidRPr="007C463A">
        <w:rPr>
          <w:b/>
        </w:rPr>
        <w:t xml:space="preserve"> </w:t>
      </w:r>
      <w:r w:rsidR="00A44449" w:rsidRPr="007C463A">
        <w:rPr>
          <w:b/>
        </w:rPr>
        <w:t>5</w:t>
      </w:r>
      <w:r w:rsidR="009045DE" w:rsidRPr="007C463A">
        <w:rPr>
          <w:b/>
        </w:rPr>
        <w:t xml:space="preserve"> </w:t>
      </w:r>
      <w:r w:rsidR="009F2D2C" w:rsidRPr="007C463A">
        <w:rPr>
          <w:b/>
        </w:rPr>
        <w:t>priemon</w:t>
      </w:r>
      <w:r w:rsidR="00D75422" w:rsidRPr="007C463A">
        <w:rPr>
          <w:b/>
        </w:rPr>
        <w:t>ės</w:t>
      </w:r>
      <w:r w:rsidR="009045DE" w:rsidRPr="007C463A">
        <w:rPr>
          <w:b/>
        </w:rPr>
        <w:t>)</w:t>
      </w:r>
      <w:r w:rsidRPr="007C463A">
        <w:rPr>
          <w:b/>
        </w:rPr>
        <w:t xml:space="preserve">: </w:t>
      </w:r>
    </w:p>
    <w:p w:rsidR="00B547A3" w:rsidRPr="007C463A" w:rsidRDefault="005E1CA2" w:rsidP="00B547A3">
      <w:pPr>
        <w:ind w:firstLine="720"/>
        <w:jc w:val="both"/>
        <w:rPr>
          <w:highlight w:val="yellow"/>
        </w:rPr>
      </w:pPr>
      <w:r w:rsidRPr="007C463A">
        <w:t>„</w:t>
      </w:r>
      <w:r w:rsidR="009D1DE6" w:rsidRPr="007C463A">
        <w:t xml:space="preserve">2.1.3.3. Parengti naują Klaipėdos miesto vandens tiekimo ir nuotekų tvarkymo infrastruktūros plėtros specialųjį planą, </w:t>
      </w:r>
      <w:r w:rsidR="006C0A62" w:rsidRPr="007C463A">
        <w:t>„</w:t>
      </w:r>
      <w:r w:rsidR="009F2D2C" w:rsidRPr="007C463A">
        <w:t>2.1.3.10. Pastatyti antrą nuotekų spaudiminę liniją iš Klaipėdos m. į Klaipėdos m. nuotekų valymo įrenginius</w:t>
      </w:r>
      <w:r w:rsidR="00C2254D" w:rsidRPr="007C463A">
        <w:t>“,</w:t>
      </w:r>
      <w:r w:rsidR="001B43AA" w:rsidRPr="007C463A">
        <w:t xml:space="preserve"> </w:t>
      </w:r>
      <w:r w:rsidR="006C0A62" w:rsidRPr="007C463A">
        <w:t>„</w:t>
      </w:r>
      <w:r w:rsidR="009F2D2C" w:rsidRPr="007C463A">
        <w:t>2.1.3.11. Pastatyti Klaipėdos m. nuotekų valykloje susidariusio dumblo utilizacijos įrenginius</w:t>
      </w:r>
      <w:r w:rsidR="00C2254D" w:rsidRPr="007C463A">
        <w:t>“,</w:t>
      </w:r>
      <w:r w:rsidR="001B43AA" w:rsidRPr="007C463A">
        <w:t xml:space="preserve"> </w:t>
      </w:r>
      <w:r w:rsidR="006C0A62" w:rsidRPr="007C463A">
        <w:t>„</w:t>
      </w:r>
      <w:r w:rsidR="009F2D2C" w:rsidRPr="007C463A">
        <w:t>2.1.3.12. Įrengti Klaipėdos m. nuotekų valykloje sukaupto nestabilizuoto dumblo saugojimo kaupyklą</w:t>
      </w:r>
      <w:r w:rsidR="00C2254D" w:rsidRPr="007C463A">
        <w:t xml:space="preserve">“, </w:t>
      </w:r>
      <w:r w:rsidR="00CD4BA9" w:rsidRPr="007C463A">
        <w:t>„2.1.3.18. Iškelti aukštos įtampos oro liniją, einančią per Klai</w:t>
      </w:r>
      <w:r w:rsidR="00EA702A" w:rsidRPr="007C463A">
        <w:t>pėdos universiteto teritoriją“.</w:t>
      </w:r>
    </w:p>
    <w:p w:rsidR="002F0395" w:rsidRPr="007C463A" w:rsidRDefault="00F94F16" w:rsidP="00085947">
      <w:pPr>
        <w:pStyle w:val="Pagrindinistekstas"/>
        <w:tabs>
          <w:tab w:val="left" w:pos="3450"/>
        </w:tabs>
        <w:spacing w:after="0"/>
        <w:ind w:firstLine="711"/>
        <w:jc w:val="both"/>
        <w:rPr>
          <w:b/>
        </w:rPr>
      </w:pPr>
      <w:r w:rsidRPr="007C463A">
        <w:rPr>
          <w:b/>
        </w:rPr>
        <w:t>III prioritetas</w:t>
      </w:r>
      <w:r w:rsidR="005E1CA2" w:rsidRPr="007C463A">
        <w:rPr>
          <w:b/>
        </w:rPr>
        <w:t xml:space="preserve"> </w:t>
      </w:r>
      <w:r w:rsidR="009045DE" w:rsidRPr="007C463A">
        <w:rPr>
          <w:b/>
        </w:rPr>
        <w:t>(nevykdom</w:t>
      </w:r>
      <w:r w:rsidR="00EE4F01" w:rsidRPr="007C463A">
        <w:rPr>
          <w:b/>
        </w:rPr>
        <w:t>os</w:t>
      </w:r>
      <w:r w:rsidR="005E1CA2" w:rsidRPr="007C463A">
        <w:rPr>
          <w:b/>
        </w:rPr>
        <w:t xml:space="preserve"> </w:t>
      </w:r>
      <w:r w:rsidR="00A44449" w:rsidRPr="007C463A">
        <w:rPr>
          <w:b/>
        </w:rPr>
        <w:t>4</w:t>
      </w:r>
      <w:r w:rsidR="004F5F82" w:rsidRPr="007C463A">
        <w:rPr>
          <w:b/>
        </w:rPr>
        <w:t xml:space="preserve"> </w:t>
      </w:r>
      <w:r w:rsidR="00EE4F01" w:rsidRPr="007C463A">
        <w:rPr>
          <w:b/>
        </w:rPr>
        <w:t>priemonės</w:t>
      </w:r>
      <w:r w:rsidR="005E1CA2" w:rsidRPr="007C463A">
        <w:rPr>
          <w:b/>
        </w:rPr>
        <w:t>):</w:t>
      </w:r>
    </w:p>
    <w:p w:rsidR="00A22AA8" w:rsidRPr="007C463A" w:rsidRDefault="00A22AA8" w:rsidP="002F0ED6">
      <w:pPr>
        <w:ind w:firstLine="720"/>
        <w:jc w:val="both"/>
      </w:pPr>
      <w:r w:rsidRPr="007C463A">
        <w:t xml:space="preserve">„3.3.2.1. Parengti Žvejų rūmų veiklos koncepciją ir modernizuoti infrastruktūrą“, </w:t>
      </w:r>
      <w:r w:rsidR="00BB7301" w:rsidRPr="007C463A">
        <w:t xml:space="preserve">„3.3.4.5. Skatinti kultūros inovacijas ir užtikrinti naujų informacinių bei ryšių technologijų pagrindu teikiamų paslaugų kūrimą ir plėtrą (nuo 2016 m.)“, </w:t>
      </w:r>
      <w:r w:rsidR="00527D79" w:rsidRPr="007C463A">
        <w:t xml:space="preserve">„3.4.2.1. Parengti ir įgyvendinti Klaipėdos miesto savivaldybės komunikacijos ir gyventojų įtraukimo į sprendimų priėmimą strategiją“, </w:t>
      </w:r>
      <w:r w:rsidRPr="007C463A">
        <w:t>3.4.3.5. Diegti visuotinės kokybės vadybos principus Savivaldybės administracijoje</w:t>
      </w:r>
      <w:r w:rsidR="00527D79" w:rsidRPr="007C463A">
        <w:t>“.</w:t>
      </w:r>
    </w:p>
    <w:p w:rsidR="00F017D6" w:rsidRPr="007C463A" w:rsidRDefault="00F017D6" w:rsidP="00F017D6">
      <w:pPr>
        <w:tabs>
          <w:tab w:val="left" w:pos="1800"/>
        </w:tabs>
        <w:ind w:firstLine="720"/>
        <w:jc w:val="both"/>
      </w:pPr>
      <w:r w:rsidRPr="007C463A">
        <w:rPr>
          <w:b/>
        </w:rPr>
        <w:t xml:space="preserve">Detali KSP priemonių įgyvendinimo analizė </w:t>
      </w:r>
      <w:r w:rsidRPr="007C463A">
        <w:t>pateikiama aiškinamojo rašto priede Nr. 1</w:t>
      </w:r>
      <w:r w:rsidR="00527D79" w:rsidRPr="007C463A">
        <w:t>.</w:t>
      </w:r>
    </w:p>
    <w:p w:rsidR="00F94F16" w:rsidRPr="007C463A" w:rsidRDefault="00F017D6" w:rsidP="00085947">
      <w:pPr>
        <w:ind w:firstLine="720"/>
        <w:jc w:val="both"/>
        <w:rPr>
          <w:b/>
          <w:bCs/>
        </w:rPr>
      </w:pPr>
      <w:r w:rsidRPr="007C463A">
        <w:rPr>
          <w:b/>
          <w:bCs/>
        </w:rPr>
        <w:t>4</w:t>
      </w:r>
      <w:r w:rsidR="00F94F16" w:rsidRPr="007C463A">
        <w:rPr>
          <w:b/>
          <w:bCs/>
        </w:rPr>
        <w:t>. Sprendimo projekto rengimo metu gauti specialistų vertinimai.</w:t>
      </w:r>
    </w:p>
    <w:p w:rsidR="00F94F16" w:rsidRPr="007C463A" w:rsidRDefault="00084D9A" w:rsidP="00085947">
      <w:pPr>
        <w:ind w:firstLine="720"/>
        <w:jc w:val="both"/>
        <w:rPr>
          <w:bCs/>
        </w:rPr>
      </w:pPr>
      <w:r w:rsidRPr="007C463A">
        <w:rPr>
          <w:bCs/>
        </w:rPr>
        <w:t>Negauti.</w:t>
      </w:r>
    </w:p>
    <w:p w:rsidR="00F94F16" w:rsidRPr="007C463A" w:rsidRDefault="002D511A" w:rsidP="00085947">
      <w:pPr>
        <w:ind w:firstLine="720"/>
        <w:rPr>
          <w:b/>
          <w:bCs/>
        </w:rPr>
      </w:pPr>
      <w:r w:rsidRPr="007C463A">
        <w:rPr>
          <w:b/>
        </w:rPr>
        <w:t>5</w:t>
      </w:r>
      <w:r w:rsidR="00F94F16" w:rsidRPr="007C463A">
        <w:rPr>
          <w:b/>
        </w:rPr>
        <w:t>. Lėšų poreikis sprendimo įgyvendinimui</w:t>
      </w:r>
      <w:r w:rsidR="00F94F16" w:rsidRPr="007C463A">
        <w:rPr>
          <w:b/>
          <w:bCs/>
        </w:rPr>
        <w:t>.</w:t>
      </w:r>
    </w:p>
    <w:p w:rsidR="002D511A" w:rsidRPr="007C463A" w:rsidRDefault="002D511A" w:rsidP="00085947">
      <w:pPr>
        <w:ind w:firstLine="720"/>
        <w:rPr>
          <w:bCs/>
        </w:rPr>
      </w:pPr>
      <w:r w:rsidRPr="007C463A">
        <w:rPr>
          <w:bCs/>
        </w:rPr>
        <w:t xml:space="preserve">Sprendimui įgyvendinti papildomų lėšų neprireiks. </w:t>
      </w:r>
    </w:p>
    <w:p w:rsidR="00F94F16" w:rsidRPr="007C463A" w:rsidRDefault="002D511A" w:rsidP="00085947">
      <w:pPr>
        <w:ind w:firstLine="720"/>
        <w:jc w:val="both"/>
        <w:rPr>
          <w:b/>
        </w:rPr>
      </w:pPr>
      <w:r w:rsidRPr="007C463A">
        <w:rPr>
          <w:b/>
          <w:bCs/>
        </w:rPr>
        <w:t>6</w:t>
      </w:r>
      <w:r w:rsidR="00F94F16" w:rsidRPr="007C463A">
        <w:rPr>
          <w:b/>
          <w:bCs/>
        </w:rPr>
        <w:t>. Galimos teigiamos ar neigiamos sprendimo priėmimo pasekmės.</w:t>
      </w:r>
    </w:p>
    <w:p w:rsidR="00140770" w:rsidRPr="007C463A" w:rsidRDefault="00F94F16" w:rsidP="00085947">
      <w:pPr>
        <w:jc w:val="both"/>
      </w:pPr>
      <w:r w:rsidRPr="007C463A">
        <w:rPr>
          <w:b/>
        </w:rPr>
        <w:t xml:space="preserve">       </w:t>
      </w:r>
      <w:r w:rsidR="002061BF" w:rsidRPr="007C463A">
        <w:rPr>
          <w:b/>
        </w:rPr>
        <w:t xml:space="preserve">     </w:t>
      </w:r>
      <w:r w:rsidRPr="007C463A">
        <w:t>Pasekmių nenumatoma.</w:t>
      </w:r>
    </w:p>
    <w:p w:rsidR="00621F8E" w:rsidRPr="007C463A" w:rsidRDefault="00621F8E" w:rsidP="00621F8E">
      <w:pPr>
        <w:tabs>
          <w:tab w:val="left" w:pos="1800"/>
        </w:tabs>
        <w:ind w:firstLine="720"/>
        <w:jc w:val="both"/>
        <w:rPr>
          <w:b/>
        </w:rPr>
      </w:pPr>
    </w:p>
    <w:p w:rsidR="00621F8E" w:rsidRPr="007C463A" w:rsidRDefault="004C57B7" w:rsidP="00621F8E">
      <w:pPr>
        <w:tabs>
          <w:tab w:val="left" w:pos="1800"/>
        </w:tabs>
        <w:ind w:firstLine="720"/>
        <w:jc w:val="both"/>
      </w:pPr>
      <w:r w:rsidRPr="007C463A">
        <w:rPr>
          <w:b/>
        </w:rPr>
        <w:t xml:space="preserve">PRIDEDAMA. </w:t>
      </w:r>
      <w:r w:rsidR="00621F8E" w:rsidRPr="007C463A">
        <w:t>Detali KSP priemonių įgyvendinimo analizė</w:t>
      </w:r>
      <w:r w:rsidR="00F017D6" w:rsidRPr="007C463A">
        <w:t>,</w:t>
      </w:r>
      <w:r w:rsidR="00621F8E" w:rsidRPr="007C463A">
        <w:t xml:space="preserve"> aiškinamojo rašto pried</w:t>
      </w:r>
      <w:r w:rsidR="00F017D6" w:rsidRPr="007C463A">
        <w:t>as</w:t>
      </w:r>
      <w:r w:rsidR="00621F8E" w:rsidRPr="007C463A">
        <w:t xml:space="preserve"> Nr. 1 (</w:t>
      </w:r>
      <w:r w:rsidR="004A35B4">
        <w:t>101 l</w:t>
      </w:r>
      <w:r w:rsidR="00D62935">
        <w:t>apas</w:t>
      </w:r>
      <w:r w:rsidR="00621F8E" w:rsidRPr="007C463A">
        <w:t>).</w:t>
      </w:r>
    </w:p>
    <w:p w:rsidR="00543399" w:rsidRDefault="00543399" w:rsidP="00085947">
      <w:pPr>
        <w:jc w:val="both"/>
      </w:pPr>
    </w:p>
    <w:p w:rsidR="004A35B4" w:rsidRPr="007C463A" w:rsidRDefault="004A35B4" w:rsidP="00085947">
      <w:pPr>
        <w:jc w:val="both"/>
      </w:pPr>
    </w:p>
    <w:p w:rsidR="00543399" w:rsidRPr="007C463A" w:rsidRDefault="00543399" w:rsidP="00085947">
      <w:pPr>
        <w:jc w:val="both"/>
      </w:pPr>
    </w:p>
    <w:p w:rsidR="00084D9A" w:rsidRPr="007C463A" w:rsidRDefault="00F94F16" w:rsidP="00085947">
      <w:pPr>
        <w:jc w:val="both"/>
      </w:pPr>
      <w:r w:rsidRPr="007C463A">
        <w:t xml:space="preserve">Strateginio planavimo skyriaus </w:t>
      </w:r>
      <w:r w:rsidR="00690916" w:rsidRPr="007C463A">
        <w:t xml:space="preserve">vedėja </w:t>
      </w:r>
      <w:r w:rsidR="00690916" w:rsidRPr="007C463A">
        <w:tab/>
      </w:r>
      <w:r w:rsidR="00690916" w:rsidRPr="007C463A">
        <w:tab/>
      </w:r>
      <w:r w:rsidR="00690916" w:rsidRPr="007C463A">
        <w:tab/>
      </w:r>
      <w:r w:rsidR="00690916" w:rsidRPr="007C463A">
        <w:tab/>
        <w:t>Indrė Butenienė</w:t>
      </w:r>
    </w:p>
    <w:p w:rsidR="003F219C" w:rsidRPr="007C463A" w:rsidRDefault="003F219C" w:rsidP="00085947">
      <w:pPr>
        <w:jc w:val="both"/>
      </w:pPr>
    </w:p>
    <w:sectPr w:rsidR="003F219C" w:rsidRPr="007C463A" w:rsidSect="007C463A">
      <w:footerReference w:type="even" r:id="rId13"/>
      <w:footerReference w:type="default" r:id="rId14"/>
      <w:headerReference w:type="first" r:id="rId15"/>
      <w:pgSz w:w="11907" w:h="16840" w:code="9"/>
      <w:pgMar w:top="1134" w:right="397" w:bottom="107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CB" w:rsidRDefault="00B173CB">
      <w:r>
        <w:separator/>
      </w:r>
    </w:p>
  </w:endnote>
  <w:endnote w:type="continuationSeparator" w:id="0">
    <w:p w:rsidR="00B173CB" w:rsidRDefault="00B1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27" w:rsidRDefault="00333C27" w:rsidP="00084D9A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33C27" w:rsidRDefault="00333C27" w:rsidP="00F94F16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27" w:rsidRDefault="00333C27" w:rsidP="00F94F16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CB" w:rsidRDefault="00B173CB">
      <w:r>
        <w:separator/>
      </w:r>
    </w:p>
  </w:footnote>
  <w:footnote w:type="continuationSeparator" w:id="0">
    <w:p w:rsidR="00B173CB" w:rsidRDefault="00B1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524723"/>
      <w:docPartObj>
        <w:docPartGallery w:val="Page Numbers (Top of Page)"/>
        <w:docPartUnique/>
      </w:docPartObj>
    </w:sdtPr>
    <w:sdtEndPr/>
    <w:sdtContent>
      <w:p w:rsidR="000011F2" w:rsidRDefault="000011F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11F2" w:rsidRDefault="000011F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2767"/>
    <w:multiLevelType w:val="hybridMultilevel"/>
    <w:tmpl w:val="B0E0323A"/>
    <w:lvl w:ilvl="0" w:tplc="5D3AF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A1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82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D0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785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0A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A5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54F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4A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787131"/>
    <w:multiLevelType w:val="hybridMultilevel"/>
    <w:tmpl w:val="6F823DA0"/>
    <w:lvl w:ilvl="0" w:tplc="56E86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37"/>
  <w:displayVertic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16"/>
    <w:rsid w:val="000011F2"/>
    <w:rsid w:val="00011891"/>
    <w:rsid w:val="000160BC"/>
    <w:rsid w:val="00021B04"/>
    <w:rsid w:val="000242A7"/>
    <w:rsid w:val="00035255"/>
    <w:rsid w:val="0004053E"/>
    <w:rsid w:val="0004351D"/>
    <w:rsid w:val="000572F9"/>
    <w:rsid w:val="00057F4A"/>
    <w:rsid w:val="00061DAE"/>
    <w:rsid w:val="00063261"/>
    <w:rsid w:val="0008027B"/>
    <w:rsid w:val="000816ED"/>
    <w:rsid w:val="00081BCF"/>
    <w:rsid w:val="00082947"/>
    <w:rsid w:val="00084D9A"/>
    <w:rsid w:val="00084FD8"/>
    <w:rsid w:val="000856CF"/>
    <w:rsid w:val="00085947"/>
    <w:rsid w:val="00086CFA"/>
    <w:rsid w:val="00096200"/>
    <w:rsid w:val="000A134E"/>
    <w:rsid w:val="000B1005"/>
    <w:rsid w:val="000B5936"/>
    <w:rsid w:val="000C451D"/>
    <w:rsid w:val="000C7077"/>
    <w:rsid w:val="000C7CE3"/>
    <w:rsid w:val="000D1C97"/>
    <w:rsid w:val="000D66F6"/>
    <w:rsid w:val="000D7670"/>
    <w:rsid w:val="000E2BF1"/>
    <w:rsid w:val="000E53B4"/>
    <w:rsid w:val="000F4223"/>
    <w:rsid w:val="000F66DD"/>
    <w:rsid w:val="00140770"/>
    <w:rsid w:val="00142D2C"/>
    <w:rsid w:val="00145F3B"/>
    <w:rsid w:val="00147BB6"/>
    <w:rsid w:val="001670F7"/>
    <w:rsid w:val="00167F66"/>
    <w:rsid w:val="00172A30"/>
    <w:rsid w:val="001747F6"/>
    <w:rsid w:val="00181412"/>
    <w:rsid w:val="001830C6"/>
    <w:rsid w:val="001870E3"/>
    <w:rsid w:val="00192E04"/>
    <w:rsid w:val="00194871"/>
    <w:rsid w:val="001A2964"/>
    <w:rsid w:val="001A5615"/>
    <w:rsid w:val="001A7A90"/>
    <w:rsid w:val="001B43AA"/>
    <w:rsid w:val="001D113A"/>
    <w:rsid w:val="001D6EB8"/>
    <w:rsid w:val="001E55A9"/>
    <w:rsid w:val="002061BF"/>
    <w:rsid w:val="00206DF5"/>
    <w:rsid w:val="00210262"/>
    <w:rsid w:val="00213CEB"/>
    <w:rsid w:val="00215A59"/>
    <w:rsid w:val="00224024"/>
    <w:rsid w:val="00227E3D"/>
    <w:rsid w:val="00235BC8"/>
    <w:rsid w:val="002405EA"/>
    <w:rsid w:val="00246F03"/>
    <w:rsid w:val="00252054"/>
    <w:rsid w:val="0025216B"/>
    <w:rsid w:val="0026032B"/>
    <w:rsid w:val="0026227C"/>
    <w:rsid w:val="0026394E"/>
    <w:rsid w:val="00265467"/>
    <w:rsid w:val="002677F8"/>
    <w:rsid w:val="0027335B"/>
    <w:rsid w:val="00275F7F"/>
    <w:rsid w:val="00282012"/>
    <w:rsid w:val="00283F24"/>
    <w:rsid w:val="0028704E"/>
    <w:rsid w:val="0029619E"/>
    <w:rsid w:val="00297470"/>
    <w:rsid w:val="002A0755"/>
    <w:rsid w:val="002A3596"/>
    <w:rsid w:val="002A4B9D"/>
    <w:rsid w:val="002B44EB"/>
    <w:rsid w:val="002B5913"/>
    <w:rsid w:val="002B72A9"/>
    <w:rsid w:val="002D1B06"/>
    <w:rsid w:val="002D2FE9"/>
    <w:rsid w:val="002D3644"/>
    <w:rsid w:val="002D511A"/>
    <w:rsid w:val="002E1CB9"/>
    <w:rsid w:val="002F0395"/>
    <w:rsid w:val="002F0884"/>
    <w:rsid w:val="002F0ED6"/>
    <w:rsid w:val="002F5884"/>
    <w:rsid w:val="002F683F"/>
    <w:rsid w:val="00305D89"/>
    <w:rsid w:val="00310505"/>
    <w:rsid w:val="00314EA2"/>
    <w:rsid w:val="003161D8"/>
    <w:rsid w:val="003176F4"/>
    <w:rsid w:val="00320DAB"/>
    <w:rsid w:val="00322F8B"/>
    <w:rsid w:val="0032475D"/>
    <w:rsid w:val="00333C27"/>
    <w:rsid w:val="003417CA"/>
    <w:rsid w:val="00360F17"/>
    <w:rsid w:val="0036468C"/>
    <w:rsid w:val="0037413D"/>
    <w:rsid w:val="00376B2B"/>
    <w:rsid w:val="00381F0E"/>
    <w:rsid w:val="00383FA8"/>
    <w:rsid w:val="003857AA"/>
    <w:rsid w:val="003A2229"/>
    <w:rsid w:val="003A44CE"/>
    <w:rsid w:val="003A4755"/>
    <w:rsid w:val="003A73DF"/>
    <w:rsid w:val="003B3D57"/>
    <w:rsid w:val="003B4FAD"/>
    <w:rsid w:val="003C1F44"/>
    <w:rsid w:val="003D3875"/>
    <w:rsid w:val="003E1AD6"/>
    <w:rsid w:val="003F219C"/>
    <w:rsid w:val="003F4088"/>
    <w:rsid w:val="00402C89"/>
    <w:rsid w:val="00416F05"/>
    <w:rsid w:val="004212A2"/>
    <w:rsid w:val="004238D9"/>
    <w:rsid w:val="00423C4D"/>
    <w:rsid w:val="00425499"/>
    <w:rsid w:val="004348F4"/>
    <w:rsid w:val="00454E0E"/>
    <w:rsid w:val="00456C39"/>
    <w:rsid w:val="00461A63"/>
    <w:rsid w:val="00463058"/>
    <w:rsid w:val="0046387C"/>
    <w:rsid w:val="00464565"/>
    <w:rsid w:val="004770D7"/>
    <w:rsid w:val="00482ABE"/>
    <w:rsid w:val="00493776"/>
    <w:rsid w:val="004A35B4"/>
    <w:rsid w:val="004B04C2"/>
    <w:rsid w:val="004B727E"/>
    <w:rsid w:val="004C2F01"/>
    <w:rsid w:val="004C2F02"/>
    <w:rsid w:val="004C3370"/>
    <w:rsid w:val="004C57B7"/>
    <w:rsid w:val="004D64AD"/>
    <w:rsid w:val="004D7970"/>
    <w:rsid w:val="004F221B"/>
    <w:rsid w:val="004F56FC"/>
    <w:rsid w:val="004F5F82"/>
    <w:rsid w:val="004F627B"/>
    <w:rsid w:val="00500477"/>
    <w:rsid w:val="00502ECD"/>
    <w:rsid w:val="0050391D"/>
    <w:rsid w:val="0051192F"/>
    <w:rsid w:val="00511F52"/>
    <w:rsid w:val="005200EC"/>
    <w:rsid w:val="00526D82"/>
    <w:rsid w:val="00527D79"/>
    <w:rsid w:val="0053058D"/>
    <w:rsid w:val="00532DD1"/>
    <w:rsid w:val="00540275"/>
    <w:rsid w:val="00540BCE"/>
    <w:rsid w:val="00541C8E"/>
    <w:rsid w:val="00543399"/>
    <w:rsid w:val="00546D46"/>
    <w:rsid w:val="00555B88"/>
    <w:rsid w:val="005560E0"/>
    <w:rsid w:val="005617A2"/>
    <w:rsid w:val="00565623"/>
    <w:rsid w:val="00567F3C"/>
    <w:rsid w:val="0057610B"/>
    <w:rsid w:val="00583C39"/>
    <w:rsid w:val="00586B7B"/>
    <w:rsid w:val="00591584"/>
    <w:rsid w:val="0059409B"/>
    <w:rsid w:val="00597CE2"/>
    <w:rsid w:val="005A0262"/>
    <w:rsid w:val="005A08E7"/>
    <w:rsid w:val="005A10D0"/>
    <w:rsid w:val="005A3207"/>
    <w:rsid w:val="005A5723"/>
    <w:rsid w:val="005A5787"/>
    <w:rsid w:val="005A73D3"/>
    <w:rsid w:val="005B0AB0"/>
    <w:rsid w:val="005B1567"/>
    <w:rsid w:val="005B5012"/>
    <w:rsid w:val="005B5E7E"/>
    <w:rsid w:val="005E1CA2"/>
    <w:rsid w:val="005E7FE7"/>
    <w:rsid w:val="005F1E68"/>
    <w:rsid w:val="0060375E"/>
    <w:rsid w:val="00607045"/>
    <w:rsid w:val="00612BBD"/>
    <w:rsid w:val="00621F8E"/>
    <w:rsid w:val="00627951"/>
    <w:rsid w:val="00630096"/>
    <w:rsid w:val="00637587"/>
    <w:rsid w:val="00637704"/>
    <w:rsid w:val="00642A50"/>
    <w:rsid w:val="00642FFC"/>
    <w:rsid w:val="006472FF"/>
    <w:rsid w:val="006517A3"/>
    <w:rsid w:val="006560D6"/>
    <w:rsid w:val="00656F48"/>
    <w:rsid w:val="00657358"/>
    <w:rsid w:val="00673D5D"/>
    <w:rsid w:val="0067411D"/>
    <w:rsid w:val="00683F62"/>
    <w:rsid w:val="0068753D"/>
    <w:rsid w:val="00690916"/>
    <w:rsid w:val="006916B7"/>
    <w:rsid w:val="006C0A10"/>
    <w:rsid w:val="006C0A62"/>
    <w:rsid w:val="006C68BE"/>
    <w:rsid w:val="006C7BA5"/>
    <w:rsid w:val="006D03B2"/>
    <w:rsid w:val="006E0AC6"/>
    <w:rsid w:val="006E5E6E"/>
    <w:rsid w:val="006F1842"/>
    <w:rsid w:val="006F76FA"/>
    <w:rsid w:val="00706EBF"/>
    <w:rsid w:val="00720F49"/>
    <w:rsid w:val="00723AD5"/>
    <w:rsid w:val="00726390"/>
    <w:rsid w:val="00737E33"/>
    <w:rsid w:val="00737E3B"/>
    <w:rsid w:val="00740878"/>
    <w:rsid w:val="007420A6"/>
    <w:rsid w:val="00744F7A"/>
    <w:rsid w:val="0074500C"/>
    <w:rsid w:val="0074636C"/>
    <w:rsid w:val="007473C2"/>
    <w:rsid w:val="00762CED"/>
    <w:rsid w:val="007673E6"/>
    <w:rsid w:val="0076748F"/>
    <w:rsid w:val="007709A1"/>
    <w:rsid w:val="00783E39"/>
    <w:rsid w:val="007925FF"/>
    <w:rsid w:val="007970D0"/>
    <w:rsid w:val="00797181"/>
    <w:rsid w:val="007A41A1"/>
    <w:rsid w:val="007A5F76"/>
    <w:rsid w:val="007B0233"/>
    <w:rsid w:val="007B2FE7"/>
    <w:rsid w:val="007B72A3"/>
    <w:rsid w:val="007B7F4C"/>
    <w:rsid w:val="007C463A"/>
    <w:rsid w:val="007D42D7"/>
    <w:rsid w:val="007D5D40"/>
    <w:rsid w:val="007E301B"/>
    <w:rsid w:val="007F2247"/>
    <w:rsid w:val="007F700A"/>
    <w:rsid w:val="0080555B"/>
    <w:rsid w:val="0080657A"/>
    <w:rsid w:val="0080795E"/>
    <w:rsid w:val="00811350"/>
    <w:rsid w:val="00814B9B"/>
    <w:rsid w:val="008175BB"/>
    <w:rsid w:val="0082111A"/>
    <w:rsid w:val="00827BC2"/>
    <w:rsid w:val="00846A15"/>
    <w:rsid w:val="00847137"/>
    <w:rsid w:val="0085412F"/>
    <w:rsid w:val="008711F7"/>
    <w:rsid w:val="00873ED0"/>
    <w:rsid w:val="00875408"/>
    <w:rsid w:val="008849EB"/>
    <w:rsid w:val="00890B67"/>
    <w:rsid w:val="00892152"/>
    <w:rsid w:val="00893280"/>
    <w:rsid w:val="00895318"/>
    <w:rsid w:val="008A2558"/>
    <w:rsid w:val="008A44B5"/>
    <w:rsid w:val="008A575D"/>
    <w:rsid w:val="008B112F"/>
    <w:rsid w:val="008B4BAB"/>
    <w:rsid w:val="008B53AE"/>
    <w:rsid w:val="008C5E6D"/>
    <w:rsid w:val="008D4AAF"/>
    <w:rsid w:val="008D591A"/>
    <w:rsid w:val="008E6F21"/>
    <w:rsid w:val="008E7C12"/>
    <w:rsid w:val="00900596"/>
    <w:rsid w:val="00903276"/>
    <w:rsid w:val="009045DE"/>
    <w:rsid w:val="009155EF"/>
    <w:rsid w:val="00920813"/>
    <w:rsid w:val="00920CA8"/>
    <w:rsid w:val="00926EEF"/>
    <w:rsid w:val="00927A55"/>
    <w:rsid w:val="00930333"/>
    <w:rsid w:val="00935019"/>
    <w:rsid w:val="00943B80"/>
    <w:rsid w:val="00946CB8"/>
    <w:rsid w:val="00961936"/>
    <w:rsid w:val="0096564D"/>
    <w:rsid w:val="00965E84"/>
    <w:rsid w:val="00971058"/>
    <w:rsid w:val="009724D0"/>
    <w:rsid w:val="009A14F9"/>
    <w:rsid w:val="009A342F"/>
    <w:rsid w:val="009B13EE"/>
    <w:rsid w:val="009B272E"/>
    <w:rsid w:val="009B5C09"/>
    <w:rsid w:val="009D0A32"/>
    <w:rsid w:val="009D1DE6"/>
    <w:rsid w:val="009D3CE4"/>
    <w:rsid w:val="009E1DA0"/>
    <w:rsid w:val="009E6B6A"/>
    <w:rsid w:val="009F2D2C"/>
    <w:rsid w:val="009F396E"/>
    <w:rsid w:val="009F647C"/>
    <w:rsid w:val="00A046D5"/>
    <w:rsid w:val="00A11BC6"/>
    <w:rsid w:val="00A21821"/>
    <w:rsid w:val="00A229F4"/>
    <w:rsid w:val="00A22AA8"/>
    <w:rsid w:val="00A25E71"/>
    <w:rsid w:val="00A2608A"/>
    <w:rsid w:val="00A343B8"/>
    <w:rsid w:val="00A44449"/>
    <w:rsid w:val="00A5117E"/>
    <w:rsid w:val="00A51577"/>
    <w:rsid w:val="00A60F31"/>
    <w:rsid w:val="00A70E64"/>
    <w:rsid w:val="00A75A44"/>
    <w:rsid w:val="00A8519E"/>
    <w:rsid w:val="00A90403"/>
    <w:rsid w:val="00AA081E"/>
    <w:rsid w:val="00AA2F9D"/>
    <w:rsid w:val="00AA4A4A"/>
    <w:rsid w:val="00AB02BC"/>
    <w:rsid w:val="00AC0F8E"/>
    <w:rsid w:val="00AC1710"/>
    <w:rsid w:val="00AC435B"/>
    <w:rsid w:val="00AC6D5D"/>
    <w:rsid w:val="00AD33C0"/>
    <w:rsid w:val="00AD705F"/>
    <w:rsid w:val="00AE53E5"/>
    <w:rsid w:val="00AF0078"/>
    <w:rsid w:val="00AF2BB3"/>
    <w:rsid w:val="00B04EAD"/>
    <w:rsid w:val="00B11016"/>
    <w:rsid w:val="00B1549B"/>
    <w:rsid w:val="00B173CB"/>
    <w:rsid w:val="00B22869"/>
    <w:rsid w:val="00B31BCF"/>
    <w:rsid w:val="00B324D1"/>
    <w:rsid w:val="00B354B4"/>
    <w:rsid w:val="00B36081"/>
    <w:rsid w:val="00B365D6"/>
    <w:rsid w:val="00B372DE"/>
    <w:rsid w:val="00B377F5"/>
    <w:rsid w:val="00B50FD4"/>
    <w:rsid w:val="00B51B8C"/>
    <w:rsid w:val="00B5233F"/>
    <w:rsid w:val="00B547A3"/>
    <w:rsid w:val="00B563A2"/>
    <w:rsid w:val="00B60529"/>
    <w:rsid w:val="00B6184A"/>
    <w:rsid w:val="00B625C2"/>
    <w:rsid w:val="00B63F71"/>
    <w:rsid w:val="00B847F7"/>
    <w:rsid w:val="00B97D4A"/>
    <w:rsid w:val="00BA3084"/>
    <w:rsid w:val="00BA568E"/>
    <w:rsid w:val="00BB029C"/>
    <w:rsid w:val="00BB18F3"/>
    <w:rsid w:val="00BB7301"/>
    <w:rsid w:val="00BC04EB"/>
    <w:rsid w:val="00BC4D79"/>
    <w:rsid w:val="00BC6424"/>
    <w:rsid w:val="00BC78EA"/>
    <w:rsid w:val="00BD10E3"/>
    <w:rsid w:val="00BD399F"/>
    <w:rsid w:val="00C10AA7"/>
    <w:rsid w:val="00C11216"/>
    <w:rsid w:val="00C14BD9"/>
    <w:rsid w:val="00C14CE0"/>
    <w:rsid w:val="00C20073"/>
    <w:rsid w:val="00C2254D"/>
    <w:rsid w:val="00C3045E"/>
    <w:rsid w:val="00C31116"/>
    <w:rsid w:val="00C43E8E"/>
    <w:rsid w:val="00C53F37"/>
    <w:rsid w:val="00C558DC"/>
    <w:rsid w:val="00C57E18"/>
    <w:rsid w:val="00C76BAC"/>
    <w:rsid w:val="00C8655A"/>
    <w:rsid w:val="00C944B4"/>
    <w:rsid w:val="00CA1608"/>
    <w:rsid w:val="00CB2CDA"/>
    <w:rsid w:val="00CB56A3"/>
    <w:rsid w:val="00CB6280"/>
    <w:rsid w:val="00CD4BA9"/>
    <w:rsid w:val="00CE285F"/>
    <w:rsid w:val="00CF4B86"/>
    <w:rsid w:val="00CF51FC"/>
    <w:rsid w:val="00D02354"/>
    <w:rsid w:val="00D04B67"/>
    <w:rsid w:val="00D10934"/>
    <w:rsid w:val="00D26BC4"/>
    <w:rsid w:val="00D26CB3"/>
    <w:rsid w:val="00D310ED"/>
    <w:rsid w:val="00D3439C"/>
    <w:rsid w:val="00D35F4A"/>
    <w:rsid w:val="00D55D12"/>
    <w:rsid w:val="00D57F6D"/>
    <w:rsid w:val="00D6083C"/>
    <w:rsid w:val="00D62935"/>
    <w:rsid w:val="00D663F5"/>
    <w:rsid w:val="00D66BAC"/>
    <w:rsid w:val="00D74E5F"/>
    <w:rsid w:val="00D75422"/>
    <w:rsid w:val="00D778E8"/>
    <w:rsid w:val="00D83A0B"/>
    <w:rsid w:val="00DB3A1A"/>
    <w:rsid w:val="00DB3FE1"/>
    <w:rsid w:val="00DC006A"/>
    <w:rsid w:val="00DC0C72"/>
    <w:rsid w:val="00DD1417"/>
    <w:rsid w:val="00DD2816"/>
    <w:rsid w:val="00DD2AC6"/>
    <w:rsid w:val="00DD6D76"/>
    <w:rsid w:val="00DD7992"/>
    <w:rsid w:val="00DE7FCF"/>
    <w:rsid w:val="00DF0175"/>
    <w:rsid w:val="00DF319D"/>
    <w:rsid w:val="00DF373A"/>
    <w:rsid w:val="00DF4B34"/>
    <w:rsid w:val="00DF51BA"/>
    <w:rsid w:val="00E0178F"/>
    <w:rsid w:val="00E03DE1"/>
    <w:rsid w:val="00E043BA"/>
    <w:rsid w:val="00E0501E"/>
    <w:rsid w:val="00E14020"/>
    <w:rsid w:val="00E20BBF"/>
    <w:rsid w:val="00E248EF"/>
    <w:rsid w:val="00E42718"/>
    <w:rsid w:val="00E45EE6"/>
    <w:rsid w:val="00E467D0"/>
    <w:rsid w:val="00E8056B"/>
    <w:rsid w:val="00E845BA"/>
    <w:rsid w:val="00E902AA"/>
    <w:rsid w:val="00EA702A"/>
    <w:rsid w:val="00EA774B"/>
    <w:rsid w:val="00EB1A70"/>
    <w:rsid w:val="00EB2777"/>
    <w:rsid w:val="00EB6040"/>
    <w:rsid w:val="00EC3F19"/>
    <w:rsid w:val="00ED15B5"/>
    <w:rsid w:val="00EE4F01"/>
    <w:rsid w:val="00EE6EA8"/>
    <w:rsid w:val="00EF488F"/>
    <w:rsid w:val="00F017D6"/>
    <w:rsid w:val="00F04505"/>
    <w:rsid w:val="00F052B8"/>
    <w:rsid w:val="00F07CD0"/>
    <w:rsid w:val="00F2185B"/>
    <w:rsid w:val="00F33D78"/>
    <w:rsid w:val="00F57B30"/>
    <w:rsid w:val="00F646AF"/>
    <w:rsid w:val="00F67DD4"/>
    <w:rsid w:val="00F741F2"/>
    <w:rsid w:val="00F84785"/>
    <w:rsid w:val="00F90728"/>
    <w:rsid w:val="00F915EE"/>
    <w:rsid w:val="00F94F16"/>
    <w:rsid w:val="00F95578"/>
    <w:rsid w:val="00FB3086"/>
    <w:rsid w:val="00FB39F5"/>
    <w:rsid w:val="00FB5746"/>
    <w:rsid w:val="00FC233A"/>
    <w:rsid w:val="00FC48CE"/>
    <w:rsid w:val="00FC5979"/>
    <w:rsid w:val="00FD64D5"/>
    <w:rsid w:val="00FE727C"/>
    <w:rsid w:val="00FF0003"/>
    <w:rsid w:val="00F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91AD4D8"/>
  <w15:docId w15:val="{3D38210F-234E-4ED9-8559-65C7C5C9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4F16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F94F16"/>
    <w:pPr>
      <w:keepNext/>
      <w:jc w:val="center"/>
      <w:outlineLvl w:val="0"/>
    </w:pPr>
    <w:rPr>
      <w:rFonts w:ascii="HelveticaLT" w:hAnsi="HelveticaLT"/>
      <w:b/>
      <w:sz w:val="28"/>
      <w:szCs w:val="20"/>
      <w:lang w:eastAsia="lt-LT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C57E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rsid w:val="00F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Pagrindiniotekstotrauka">
    <w:name w:val="Body Text Indent"/>
    <w:basedOn w:val="prastasis"/>
    <w:rsid w:val="00F94F16"/>
    <w:pPr>
      <w:ind w:firstLine="720"/>
      <w:jc w:val="both"/>
    </w:pPr>
  </w:style>
  <w:style w:type="paragraph" w:styleId="Porat">
    <w:name w:val="footer"/>
    <w:basedOn w:val="prastasis"/>
    <w:rsid w:val="00F94F16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94F16"/>
  </w:style>
  <w:style w:type="character" w:styleId="Grietas">
    <w:name w:val="Strong"/>
    <w:qFormat/>
    <w:rsid w:val="00425499"/>
    <w:rPr>
      <w:b/>
      <w:bCs/>
    </w:rPr>
  </w:style>
  <w:style w:type="paragraph" w:styleId="Pagrindinistekstas">
    <w:name w:val="Body Text"/>
    <w:basedOn w:val="prastasis"/>
    <w:rsid w:val="00BB029C"/>
    <w:pPr>
      <w:spacing w:after="120"/>
    </w:pPr>
  </w:style>
  <w:style w:type="table" w:styleId="Lentelstinklelis">
    <w:name w:val="Table Grid"/>
    <w:basedOn w:val="prastojilentel"/>
    <w:rsid w:val="004D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C76BAC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9724D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724D0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935019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semiHidden/>
    <w:rsid w:val="00C57E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011F2"/>
    <w:rPr>
      <w:sz w:val="24"/>
      <w:szCs w:val="24"/>
      <w:lang w:eastAsia="en-US"/>
    </w:rPr>
  </w:style>
  <w:style w:type="paragraph" w:customStyle="1" w:styleId="header-item">
    <w:name w:val="header-item"/>
    <w:basedOn w:val="prastasis"/>
    <w:rsid w:val="007420A6"/>
    <w:pPr>
      <w:spacing w:before="100" w:beforeAutospacing="1" w:after="100" w:afterAutospacing="1"/>
    </w:pPr>
    <w:rPr>
      <w:lang w:eastAsia="lt-LT"/>
    </w:rPr>
  </w:style>
  <w:style w:type="paragraph" w:customStyle="1" w:styleId="sdb-item">
    <w:name w:val="sdb-item"/>
    <w:basedOn w:val="prastasis"/>
    <w:rsid w:val="007420A6"/>
    <w:pPr>
      <w:spacing w:before="100" w:beforeAutospacing="1" w:after="100" w:afterAutospacing="1"/>
    </w:pPr>
    <w:rPr>
      <w:lang w:eastAsia="lt-LT"/>
    </w:rPr>
  </w:style>
  <w:style w:type="paragraph" w:customStyle="1" w:styleId="ng-binding">
    <w:name w:val="ng-binding"/>
    <w:basedOn w:val="prastasis"/>
    <w:rsid w:val="007420A6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4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2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1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0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73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7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6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52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31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03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28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10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4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614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52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527298">
                                                                                                          <w:marLeft w:val="0"/>
                                                                                                          <w:marRight w:val="27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6" w:space="0" w:color="CACACA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0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6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07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85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23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655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716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4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054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2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62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1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1739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55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8438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9753672">
                                                                                                          <w:marLeft w:val="0"/>
                                                                                                          <w:marRight w:val="27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single" w:sz="6" w:space="0" w:color="CACACA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darbalapis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9A7-4005-9B15-58B2C0C23772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9A7-4005-9B15-58B2C0C23772}"/>
              </c:ext>
            </c:extLst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9A7-4005-9B15-58B2C0C23772}"/>
              </c:ext>
            </c:extLst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9A7-4005-9B15-58B2C0C23772}"/>
              </c:ext>
            </c:extLst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9A7-4005-9B15-58B2C0C23772}"/>
              </c:ext>
            </c:extLst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9A7-4005-9B15-58B2C0C2377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Lapas1!$G$3:$R$4</c:f>
              <c:multiLvlStrCache>
                <c:ptCount val="12"/>
                <c:lvl>
                  <c:pt idx="0">
                    <c:v>2015</c:v>
                  </c:pt>
                  <c:pt idx="1">
                    <c:v>2016</c:v>
                  </c:pt>
                  <c:pt idx="2">
                    <c:v>2015</c:v>
                  </c:pt>
                  <c:pt idx="3">
                    <c:v>2016</c:v>
                  </c:pt>
                  <c:pt idx="4">
                    <c:v>2015</c:v>
                  </c:pt>
                  <c:pt idx="5">
                    <c:v>2016</c:v>
                  </c:pt>
                  <c:pt idx="6">
                    <c:v>2015</c:v>
                  </c:pt>
                  <c:pt idx="7">
                    <c:v>2016</c:v>
                  </c:pt>
                  <c:pt idx="8">
                    <c:v>2015</c:v>
                  </c:pt>
                  <c:pt idx="9">
                    <c:v>2016</c:v>
                  </c:pt>
                  <c:pt idx="10">
                    <c:v>2015</c:v>
                  </c:pt>
                  <c:pt idx="11">
                    <c:v>2016</c:v>
                  </c:pt>
                </c:lvl>
                <c:lvl>
                  <c:pt idx="0">
                    <c:v>Lietuvos Respublika</c:v>
                  </c:pt>
                  <c:pt idx="2">
                    <c:v>Vilniaus m. sav.</c:v>
                  </c:pt>
                  <c:pt idx="4">
                    <c:v>Klaipėdos m. sav.</c:v>
                  </c:pt>
                  <c:pt idx="6">
                    <c:v>Kauno m. sav.</c:v>
                  </c:pt>
                  <c:pt idx="8">
                    <c:v>Panevėžio m. sav.</c:v>
                  </c:pt>
                  <c:pt idx="10">
                    <c:v>Šiaulių m. sav.</c:v>
                  </c:pt>
                </c:lvl>
              </c:multiLvlStrCache>
            </c:multiLvlStrRef>
          </c:cat>
          <c:val>
            <c:numRef>
              <c:f>Lapas1!$G$5:$R$5</c:f>
              <c:numCache>
                <c:formatCode>General</c:formatCode>
                <c:ptCount val="12"/>
                <c:pt idx="0">
                  <c:v>4673</c:v>
                </c:pt>
                <c:pt idx="1">
                  <c:v>4890</c:v>
                </c:pt>
                <c:pt idx="2">
                  <c:v>16729</c:v>
                </c:pt>
                <c:pt idx="3">
                  <c:v>17336</c:v>
                </c:pt>
                <c:pt idx="4">
                  <c:v>5578</c:v>
                </c:pt>
                <c:pt idx="5">
                  <c:v>5475</c:v>
                </c:pt>
                <c:pt idx="6">
                  <c:v>3446</c:v>
                </c:pt>
                <c:pt idx="7">
                  <c:v>4022</c:v>
                </c:pt>
                <c:pt idx="8">
                  <c:v>2614</c:v>
                </c:pt>
                <c:pt idx="9">
                  <c:v>2760</c:v>
                </c:pt>
                <c:pt idx="10">
                  <c:v>709</c:v>
                </c:pt>
                <c:pt idx="11">
                  <c:v>1021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9A7-4005-9B15-58B2C0C237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9987848"/>
        <c:axId val="289988240"/>
      </c:barChart>
      <c:catAx>
        <c:axId val="289987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t-LT"/>
          </a:p>
        </c:txPr>
        <c:crossAx val="289988240"/>
        <c:crosses val="autoZero"/>
        <c:auto val="1"/>
        <c:lblAlgn val="ctr"/>
        <c:lblOffset val="100"/>
        <c:noMultiLvlLbl val="0"/>
      </c:catAx>
      <c:valAx>
        <c:axId val="289988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87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Lapas2!$E$43:$G$43</c:f>
              <c:strCache>
                <c:ptCount val="3"/>
                <c:pt idx="0">
                  <c:v>744,2</c:v>
                </c:pt>
                <c:pt idx="1">
                  <c:v>812,8</c:v>
                </c:pt>
                <c:pt idx="2">
                  <c:v>876,4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Lapas2!$H$39:$V$42</c:f>
              <c:multiLvlStrCache>
                <c:ptCount val="15"/>
                <c:lvl>
                  <c:pt idx="0">
                    <c:v>2015</c:v>
                  </c:pt>
                  <c:pt idx="1">
                    <c:v>2016</c:v>
                  </c:pt>
                  <c:pt idx="2">
                    <c:v>2017 IV</c:v>
                  </c:pt>
                  <c:pt idx="3">
                    <c:v>2015</c:v>
                  </c:pt>
                  <c:pt idx="4">
                    <c:v>2016</c:v>
                  </c:pt>
                  <c:pt idx="5">
                    <c:v>2017 IV</c:v>
                  </c:pt>
                  <c:pt idx="6">
                    <c:v>2015</c:v>
                  </c:pt>
                  <c:pt idx="7">
                    <c:v>2016</c:v>
                  </c:pt>
                  <c:pt idx="8">
                    <c:v>2017 IV </c:v>
                  </c:pt>
                  <c:pt idx="9">
                    <c:v>2015</c:v>
                  </c:pt>
                  <c:pt idx="10">
                    <c:v>2016</c:v>
                  </c:pt>
                  <c:pt idx="11">
                    <c:v>2017 IV</c:v>
                  </c:pt>
                  <c:pt idx="12">
                    <c:v>2015</c:v>
                  </c:pt>
                  <c:pt idx="13">
                    <c:v>2016</c:v>
                  </c:pt>
                  <c:pt idx="14">
                    <c:v>2017 IV </c:v>
                  </c:pt>
                </c:lvl>
                <c:lvl>
                  <c:pt idx="0">
                    <c:v>  Vilniaus m. sav.</c:v>
                  </c:pt>
                  <c:pt idx="3">
                    <c:v>  Kauno m. sav.</c:v>
                  </c:pt>
                  <c:pt idx="6">
                    <c:v>  Klaipėdos m. sav.</c:v>
                  </c:pt>
                  <c:pt idx="9">
                    <c:v>  Šiaulių m. sav.</c:v>
                  </c:pt>
                  <c:pt idx="12">
                    <c:v>  Panevėžio m. sav.</c:v>
                  </c:pt>
                </c:lvl>
              </c:multiLvlStrCache>
            </c:multiLvlStrRef>
          </c:cat>
          <c:val>
            <c:numRef>
              <c:f>Lapas2!$H$43:$V$43</c:f>
              <c:numCache>
                <c:formatCode>General</c:formatCode>
                <c:ptCount val="15"/>
                <c:pt idx="0">
                  <c:v>849.1</c:v>
                </c:pt>
                <c:pt idx="1">
                  <c:v>921.9</c:v>
                </c:pt>
                <c:pt idx="2">
                  <c:v>1000.3</c:v>
                </c:pt>
                <c:pt idx="3">
                  <c:v>759.5</c:v>
                </c:pt>
                <c:pt idx="4">
                  <c:v>826.8</c:v>
                </c:pt>
                <c:pt idx="5">
                  <c:v>833</c:v>
                </c:pt>
                <c:pt idx="6">
                  <c:v>797.8</c:v>
                </c:pt>
                <c:pt idx="7">
                  <c:v>861.9</c:v>
                </c:pt>
                <c:pt idx="8">
                  <c:v>933.5</c:v>
                </c:pt>
                <c:pt idx="9">
                  <c:v>660.1</c:v>
                </c:pt>
                <c:pt idx="10">
                  <c:v>731.3</c:v>
                </c:pt>
                <c:pt idx="11">
                  <c:v>764</c:v>
                </c:pt>
                <c:pt idx="12">
                  <c:v>713.3</c:v>
                </c:pt>
                <c:pt idx="13">
                  <c:v>759.6</c:v>
                </c:pt>
                <c:pt idx="14">
                  <c:v>831.5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60-4AF9-A25D-8938B9BE7F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988632"/>
        <c:axId val="289990984"/>
      </c:barChart>
      <c:catAx>
        <c:axId val="289988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90984"/>
        <c:crosses val="autoZero"/>
        <c:auto val="1"/>
        <c:lblAlgn val="ctr"/>
        <c:lblOffset val="100"/>
        <c:noMultiLvlLbl val="0"/>
      </c:catAx>
      <c:valAx>
        <c:axId val="289990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88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Lapas2!$C$65:$C$70</c:f>
              <c:strCache>
                <c:ptCount val="6"/>
                <c:pt idx="0">
                  <c:v>Lietuvos Respublika</c:v>
                </c:pt>
                <c:pt idx="1">
                  <c:v>  Kauno m. sav.</c:v>
                </c:pt>
                <c:pt idx="2">
                  <c:v>  Klaipėdos m. sav.</c:v>
                </c:pt>
                <c:pt idx="3">
                  <c:v>  Panevėžio m. sav.</c:v>
                </c:pt>
                <c:pt idx="4">
                  <c:v>  Šiaulių m. sav.</c:v>
                </c:pt>
                <c:pt idx="5">
                  <c:v>  Vilniaus m. sav.</c:v>
                </c:pt>
              </c:strCache>
            </c:strRef>
          </c:cat>
          <c:val>
            <c:numRef>
              <c:f>Lapas2!$D$65:$D$70</c:f>
              <c:numCache>
                <c:formatCode>General</c:formatCode>
                <c:ptCount val="6"/>
                <c:pt idx="0">
                  <c:v>7.9</c:v>
                </c:pt>
                <c:pt idx="1">
                  <c:v>7.2</c:v>
                </c:pt>
                <c:pt idx="2">
                  <c:v>6.4</c:v>
                </c:pt>
                <c:pt idx="3">
                  <c:v>7.4</c:v>
                </c:pt>
                <c:pt idx="4">
                  <c:v>5.3</c:v>
                </c:pt>
                <c:pt idx="5">
                  <c:v>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C4-46CD-AB8D-BD0E46F4F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987064"/>
        <c:axId val="289989024"/>
      </c:barChart>
      <c:catAx>
        <c:axId val="289987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89024"/>
        <c:crosses val="autoZero"/>
        <c:auto val="1"/>
        <c:lblAlgn val="ctr"/>
        <c:lblOffset val="100"/>
        <c:noMultiLvlLbl val="0"/>
      </c:catAx>
      <c:valAx>
        <c:axId val="289989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87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833333333333327E-2"/>
          <c:y val="3.3755274261603373E-2"/>
          <c:w val="0.91294444444444445"/>
          <c:h val="0.903802341163050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Lapas2!$C$112:$C$116</c:f>
              <c:strCache>
                <c:ptCount val="5"/>
                <c:pt idx="0">
                  <c:v>  Kauno m. sav.</c:v>
                </c:pt>
                <c:pt idx="1">
                  <c:v>  Klaipėdos m. sav.</c:v>
                </c:pt>
                <c:pt idx="2">
                  <c:v>  Panevėžio m. sav.</c:v>
                </c:pt>
                <c:pt idx="3">
                  <c:v>  Šiaulių m. sav.</c:v>
                </c:pt>
                <c:pt idx="4">
                  <c:v>  Vilniaus m. sav.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Lapas2!$C$112:$C$116</c:f>
              <c:strCache>
                <c:ptCount val="5"/>
                <c:pt idx="0">
                  <c:v>  Kauno m. sav.</c:v>
                </c:pt>
                <c:pt idx="1">
                  <c:v>  Klaipėdos m. sav.</c:v>
                </c:pt>
                <c:pt idx="2">
                  <c:v>  Panevėžio m. sav.</c:v>
                </c:pt>
                <c:pt idx="3">
                  <c:v>  Šiaulių m. sav.</c:v>
                </c:pt>
                <c:pt idx="4">
                  <c:v>  Vilniaus m. sav.</c:v>
                </c:pt>
              </c:strCache>
            </c:strRef>
          </c:cat>
          <c:val>
            <c:numRef>
              <c:f>Lapas2!$D$112:$D$116</c:f>
              <c:numCache>
                <c:formatCode>0.00</c:formatCode>
                <c:ptCount val="5"/>
                <c:pt idx="0" formatCode="General">
                  <c:v>-1.61</c:v>
                </c:pt>
                <c:pt idx="1">
                  <c:v>-1.77</c:v>
                </c:pt>
                <c:pt idx="2" formatCode="General">
                  <c:v>-2.66</c:v>
                </c:pt>
                <c:pt idx="3" formatCode="General">
                  <c:v>-1.18</c:v>
                </c:pt>
                <c:pt idx="4" formatCode="General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85-47E2-BF6F-67FBA55FA2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9985104"/>
        <c:axId val="289989416"/>
      </c:barChart>
      <c:catAx>
        <c:axId val="289985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89416"/>
        <c:crosses val="autoZero"/>
        <c:auto val="1"/>
        <c:lblAlgn val="ctr"/>
        <c:lblOffset val="100"/>
        <c:noMultiLvlLbl val="0"/>
      </c:catAx>
      <c:valAx>
        <c:axId val="289989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85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790783702372775E-2"/>
          <c:y val="5.0925925925925923E-2"/>
          <c:w val="0.94868572636474136"/>
          <c:h val="0.841674686497521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168459590603064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31B-4200-84E4-7183524115F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940297522722278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31B-4200-84E4-7183524115FB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Lapas2!$D$140:$D$147</c:f>
              <c:strCache>
                <c:ptCount val="8"/>
                <c:pt idx="0">
                  <c:v>Klaipėdos m. sav.</c:v>
                </c:pt>
                <c:pt idx="1">
                  <c:v>  Klaipėdos r. sav.</c:v>
                </c:pt>
                <c:pt idx="2">
                  <c:v>  Kretingos r. sav.</c:v>
                </c:pt>
                <c:pt idx="4">
                  <c:v>  Neringos sav.</c:v>
                </c:pt>
                <c:pt idx="5">
                  <c:v>  Palangos m. sav.</c:v>
                </c:pt>
                <c:pt idx="6">
                  <c:v>  Skuodo r. sav.</c:v>
                </c:pt>
                <c:pt idx="7">
                  <c:v>  Šilutės r. sav.</c:v>
                </c:pt>
              </c:strCache>
            </c:strRef>
          </c:cat>
          <c:val>
            <c:numRef>
              <c:f>Lapas2!$E$140:$E$147</c:f>
              <c:numCache>
                <c:formatCode>General</c:formatCode>
                <c:ptCount val="8"/>
                <c:pt idx="0">
                  <c:v>-1.77</c:v>
                </c:pt>
                <c:pt idx="1">
                  <c:v>2.4700000000000002</c:v>
                </c:pt>
                <c:pt idx="2">
                  <c:v>-1.51</c:v>
                </c:pt>
                <c:pt idx="4">
                  <c:v>3.37</c:v>
                </c:pt>
                <c:pt idx="5">
                  <c:v>-0.52</c:v>
                </c:pt>
                <c:pt idx="6">
                  <c:v>-3.21</c:v>
                </c:pt>
                <c:pt idx="7">
                  <c:v>-2.89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31B-4200-84E4-7183524115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89989808"/>
        <c:axId val="289991376"/>
      </c:barChart>
      <c:catAx>
        <c:axId val="289989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91376"/>
        <c:crosses val="autoZero"/>
        <c:auto val="1"/>
        <c:lblAlgn val="ctr"/>
        <c:lblOffset val="100"/>
        <c:noMultiLvlLbl val="0"/>
      </c:catAx>
      <c:valAx>
        <c:axId val="289991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28998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8F16-3D19-40DA-B407-1EF77917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6934</Characters>
  <Application>Microsoft Office Word</Application>
  <DocSecurity>4</DocSecurity>
  <Lines>57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valdyba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S.Kacerauskaite</dc:creator>
  <cp:lastModifiedBy>Virginija Palaimiene</cp:lastModifiedBy>
  <cp:revision>2</cp:revision>
  <cp:lastPrinted>2017-06-05T14:04:00Z</cp:lastPrinted>
  <dcterms:created xsi:type="dcterms:W3CDTF">2018-09-13T13:26:00Z</dcterms:created>
  <dcterms:modified xsi:type="dcterms:W3CDTF">2018-09-13T13:26:00Z</dcterms:modified>
</cp:coreProperties>
</file>