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AB0D8" w14:textId="77777777" w:rsidR="00335BA6" w:rsidRPr="00867864" w:rsidRDefault="00335BA6" w:rsidP="00492B82">
      <w:pPr>
        <w:jc w:val="center"/>
        <w:rPr>
          <w:b/>
        </w:rPr>
      </w:pPr>
      <w:bookmarkStart w:id="0" w:name="_GoBack"/>
      <w:bookmarkEnd w:id="0"/>
      <w:r w:rsidRPr="00867864">
        <w:rPr>
          <w:b/>
        </w:rPr>
        <w:t>AIŠKINAMASIS RAŠTAS</w:t>
      </w:r>
    </w:p>
    <w:p w14:paraId="0A5AB0D9" w14:textId="77777777" w:rsidR="00335BA6" w:rsidRPr="00867864" w:rsidRDefault="00335BA6" w:rsidP="00492B82">
      <w:pPr>
        <w:jc w:val="center"/>
        <w:rPr>
          <w:b/>
          <w:color w:val="000000"/>
        </w:rPr>
      </w:pPr>
      <w:r w:rsidRPr="00867864">
        <w:rPr>
          <w:b/>
        </w:rPr>
        <w:t xml:space="preserve">PRIE </w:t>
      </w:r>
      <w:r w:rsidR="008C1592" w:rsidRPr="00867864">
        <w:rPr>
          <w:b/>
        </w:rPr>
        <w:t>KLAIPĖDOS MIESTO SAVIVALDYBĖS TARYBOS SPRENDIMO „DĖL</w:t>
      </w:r>
      <w:r w:rsidR="001D622B">
        <w:rPr>
          <w:b/>
        </w:rPr>
        <w:t xml:space="preserve"> KLAIPĖDOS MIESTO SAVIVALDYBĖS TARYBOS 2015 M. </w:t>
      </w:r>
      <w:r w:rsidR="00060DAB">
        <w:rPr>
          <w:b/>
        </w:rPr>
        <w:t>GEGUŽĖS 7 D. SPRENDIMO NR. T2-8</w:t>
      </w:r>
      <w:r w:rsidR="001D622B">
        <w:rPr>
          <w:b/>
        </w:rPr>
        <w:t>8 „ DĖL</w:t>
      </w:r>
      <w:r w:rsidR="008C1592" w:rsidRPr="00867864">
        <w:rPr>
          <w:b/>
        </w:rPr>
        <w:t xml:space="preserve"> </w:t>
      </w:r>
      <w:r w:rsidR="00C22463" w:rsidRPr="00867864">
        <w:rPr>
          <w:b/>
          <w:caps/>
        </w:rPr>
        <w:t xml:space="preserve">KLAIPĖDOS MIESTO SAVIVALDYBĖS ADMINISTRACIJOS </w:t>
      </w:r>
      <w:r w:rsidR="00863646" w:rsidRPr="00867864">
        <w:rPr>
          <w:b/>
          <w:caps/>
        </w:rPr>
        <w:t xml:space="preserve">direktoriaus </w:t>
      </w:r>
      <w:r w:rsidR="00060DAB">
        <w:rPr>
          <w:b/>
          <w:caps/>
        </w:rPr>
        <w:t xml:space="preserve">PAVADUOTOJO </w:t>
      </w:r>
      <w:r w:rsidR="001D622B">
        <w:rPr>
          <w:b/>
          <w:caps/>
        </w:rPr>
        <w:t>SKYRIMO“ PAKEITIMO</w:t>
      </w:r>
      <w:r w:rsidRPr="00867864">
        <w:rPr>
          <w:b/>
          <w:color w:val="000000"/>
        </w:rPr>
        <w:t xml:space="preserve">“ </w:t>
      </w:r>
      <w:r w:rsidRPr="00867864">
        <w:rPr>
          <w:b/>
        </w:rPr>
        <w:t>PROJEKTO</w:t>
      </w:r>
    </w:p>
    <w:p w14:paraId="0A5AB0DA" w14:textId="77777777" w:rsidR="00335BA6" w:rsidRDefault="00335BA6" w:rsidP="00867864">
      <w:pPr>
        <w:ind w:firstLine="720"/>
        <w:jc w:val="both"/>
        <w:rPr>
          <w:b/>
        </w:rPr>
      </w:pPr>
    </w:p>
    <w:p w14:paraId="0A5AB0DB" w14:textId="77777777" w:rsidR="00854023" w:rsidRDefault="00854023" w:rsidP="00867864">
      <w:pPr>
        <w:ind w:firstLine="720"/>
        <w:jc w:val="both"/>
        <w:rPr>
          <w:b/>
        </w:rPr>
      </w:pPr>
    </w:p>
    <w:p w14:paraId="0A5AB0DC" w14:textId="77777777" w:rsidR="00D87209" w:rsidRPr="00867864" w:rsidRDefault="00D87209" w:rsidP="00867864">
      <w:pPr>
        <w:ind w:firstLine="720"/>
        <w:jc w:val="both"/>
        <w:rPr>
          <w:b/>
        </w:rPr>
      </w:pPr>
    </w:p>
    <w:p w14:paraId="0A5AB0DD" w14:textId="77777777" w:rsidR="000F1790" w:rsidRPr="000F1790" w:rsidRDefault="00335BA6" w:rsidP="000F1790">
      <w:pPr>
        <w:pStyle w:val="Sraopastraipa"/>
        <w:numPr>
          <w:ilvl w:val="0"/>
          <w:numId w:val="10"/>
        </w:numPr>
        <w:jc w:val="both"/>
        <w:rPr>
          <w:b/>
        </w:rPr>
      </w:pPr>
      <w:r w:rsidRPr="000F1790">
        <w:rPr>
          <w:b/>
        </w:rPr>
        <w:t>Sprendimo projekto esmė, tikslai ir uždaviniai.</w:t>
      </w:r>
    </w:p>
    <w:p w14:paraId="0A5AB0DE" w14:textId="77777777" w:rsidR="000931A0" w:rsidRDefault="00E7317D" w:rsidP="000F1790">
      <w:pPr>
        <w:ind w:firstLine="709"/>
        <w:jc w:val="both"/>
      </w:pPr>
      <w:r>
        <w:rPr>
          <w:spacing w:val="2"/>
        </w:rPr>
        <w:t>Vadovaujantis</w:t>
      </w:r>
      <w:r w:rsidR="00863646" w:rsidRPr="000F1790">
        <w:rPr>
          <w:spacing w:val="2"/>
        </w:rPr>
        <w:t xml:space="preserve"> Lietuvos Respublikos</w:t>
      </w:r>
      <w:r w:rsidR="00863646" w:rsidRPr="00867864">
        <w:t xml:space="preserve"> valstybės tarnybos įstatymo (2018 m. birželio 29 d. įstatymo Nr. VIII-1316 redakcija)  nuostat</w:t>
      </w:r>
      <w:r>
        <w:t>omis</w:t>
      </w:r>
      <w:r w:rsidR="00863646" w:rsidRPr="00867864">
        <w:t xml:space="preserve">, </w:t>
      </w:r>
      <w:r>
        <w:t xml:space="preserve">siekiama nustatyti </w:t>
      </w:r>
      <w:r w:rsidR="000931A0">
        <w:t xml:space="preserve">Klaipėdos miesto savivaldybės administracijos direktoriui </w:t>
      </w:r>
      <w:r w:rsidR="00DD4DED">
        <w:t>pavaduotojai Alinai Velykienei</w:t>
      </w:r>
      <w:r w:rsidR="000931A0">
        <w:t xml:space="preserve"> pareiginės algos </w:t>
      </w:r>
      <w:r w:rsidR="005E739D">
        <w:t xml:space="preserve">priemoką, todėl keičiamas </w:t>
      </w:r>
      <w:r w:rsidR="005E739D">
        <w:rPr>
          <w:color w:val="000000"/>
          <w:shd w:val="clear" w:color="auto" w:fill="FFFFFF"/>
        </w:rPr>
        <w:t xml:space="preserve">Klaipėdos miesto savivaldybės tarybos 2015 m. </w:t>
      </w:r>
      <w:r w:rsidR="00DD4DED">
        <w:rPr>
          <w:color w:val="000000"/>
          <w:shd w:val="clear" w:color="auto" w:fill="FFFFFF"/>
        </w:rPr>
        <w:t xml:space="preserve">gegužės 7 </w:t>
      </w:r>
      <w:r w:rsidR="005E739D">
        <w:rPr>
          <w:color w:val="000000"/>
          <w:shd w:val="clear" w:color="auto" w:fill="FFFFFF"/>
        </w:rPr>
        <w:t xml:space="preserve">d. </w:t>
      </w:r>
      <w:r w:rsidR="00346B0F">
        <w:rPr>
          <w:color w:val="000000"/>
          <w:shd w:val="clear" w:color="auto" w:fill="FFFFFF"/>
        </w:rPr>
        <w:t>sprendimo</w:t>
      </w:r>
      <w:r w:rsidR="005E739D">
        <w:rPr>
          <w:color w:val="000000"/>
          <w:shd w:val="clear" w:color="auto" w:fill="FFFFFF"/>
        </w:rPr>
        <w:t xml:space="preserve"> </w:t>
      </w:r>
      <w:r w:rsidR="00864EDF">
        <w:rPr>
          <w:color w:val="000000"/>
          <w:shd w:val="clear" w:color="auto" w:fill="FFFFFF"/>
        </w:rPr>
        <w:t>Nr. T2-8</w:t>
      </w:r>
      <w:r w:rsidR="005E739D">
        <w:rPr>
          <w:color w:val="000000"/>
          <w:shd w:val="clear" w:color="auto" w:fill="FFFFFF"/>
        </w:rPr>
        <w:t xml:space="preserve">8 „Dėl Klaipėdos miesto savivaldybės administracijos direktoriaus </w:t>
      </w:r>
      <w:r w:rsidR="00864EDF">
        <w:rPr>
          <w:color w:val="000000"/>
          <w:shd w:val="clear" w:color="auto" w:fill="FFFFFF"/>
        </w:rPr>
        <w:t xml:space="preserve">pavaduotojo </w:t>
      </w:r>
      <w:r w:rsidR="005E739D">
        <w:rPr>
          <w:color w:val="000000"/>
          <w:shd w:val="clear" w:color="auto" w:fill="FFFFFF"/>
        </w:rPr>
        <w:t xml:space="preserve">skyrimo“ 2 </w:t>
      </w:r>
      <w:r w:rsidR="0026312F">
        <w:rPr>
          <w:color w:val="000000"/>
          <w:shd w:val="clear" w:color="auto" w:fill="FFFFFF"/>
        </w:rPr>
        <w:t>punktas</w:t>
      </w:r>
      <w:r w:rsidR="005E739D">
        <w:rPr>
          <w:color w:val="000000"/>
          <w:shd w:val="clear" w:color="auto" w:fill="FFFFFF"/>
        </w:rPr>
        <w:t>.</w:t>
      </w:r>
      <w:r w:rsidR="000931A0">
        <w:t xml:space="preserve"> </w:t>
      </w:r>
    </w:p>
    <w:p w14:paraId="0A5AB0DF" w14:textId="77777777" w:rsidR="000F1790" w:rsidRDefault="000931A0" w:rsidP="000931A0">
      <w:pPr>
        <w:ind w:firstLine="709"/>
        <w:jc w:val="both"/>
        <w:rPr>
          <w:spacing w:val="2"/>
          <w:shd w:val="clear" w:color="auto" w:fill="FFFFFF"/>
        </w:rPr>
      </w:pPr>
      <w:r>
        <w:t xml:space="preserve">Iki </w:t>
      </w:r>
      <w:r w:rsidRPr="000F1790">
        <w:rPr>
          <w:spacing w:val="2"/>
        </w:rPr>
        <w:t>Lietuvos Respublikos</w:t>
      </w:r>
      <w:r w:rsidRPr="00867864">
        <w:t xml:space="preserve"> valstybės tarnybos įstatymo (2018 m. birželio 29 d. įstatymo </w:t>
      </w:r>
      <w:r w:rsidR="00262D06">
        <w:t xml:space="preserve">          </w:t>
      </w:r>
      <w:r w:rsidRPr="00867864">
        <w:t xml:space="preserve">Nr. VIII-1316 redakcija) </w:t>
      </w:r>
      <w:r w:rsidR="002C3454">
        <w:t xml:space="preserve">įsigaliojimo </w:t>
      </w:r>
      <w:r w:rsidR="00262D06">
        <w:t>S</w:t>
      </w:r>
      <w:r>
        <w:t>avivaldybės administracijos direktori</w:t>
      </w:r>
      <w:r w:rsidR="006928A5">
        <w:t xml:space="preserve">aus </w:t>
      </w:r>
      <w:r w:rsidR="00433A1D">
        <w:t xml:space="preserve">pavaduotojos Alinos </w:t>
      </w:r>
      <w:r w:rsidR="006928A5">
        <w:t>Velykien</w:t>
      </w:r>
      <w:r w:rsidR="00433A1D">
        <w:t>ės</w:t>
      </w:r>
      <w:r w:rsidR="00923959">
        <w:t xml:space="preserve"> </w:t>
      </w:r>
      <w:r w:rsidR="00433A1D">
        <w:t>darbo užmokest</w:t>
      </w:r>
      <w:r w:rsidR="00BD113A">
        <w:t>į</w:t>
      </w:r>
      <w:r w:rsidR="00433A1D">
        <w:t xml:space="preserve"> sudaro koeficient</w:t>
      </w:r>
      <w:r w:rsidR="00B83ECE">
        <w:t>inis dydis</w:t>
      </w:r>
      <w:r w:rsidR="00433A1D">
        <w:t xml:space="preserve"> </w:t>
      </w:r>
      <w:r w:rsidR="00B83ECE">
        <w:rPr>
          <w:spacing w:val="2"/>
          <w:shd w:val="clear" w:color="auto" w:fill="FFFFFF"/>
        </w:rPr>
        <w:t>–</w:t>
      </w:r>
      <w:r w:rsidR="002C3454">
        <w:t xml:space="preserve"> </w:t>
      </w:r>
      <w:r w:rsidR="00433A1D">
        <w:t>13,58</w:t>
      </w:r>
      <w:r>
        <w:t xml:space="preserve"> (</w:t>
      </w:r>
      <w:r w:rsidR="00262D06">
        <w:t xml:space="preserve">pareigybė </w:t>
      </w:r>
      <w:r>
        <w:t>A</w:t>
      </w:r>
      <w:r w:rsidR="00262D06">
        <w:t xml:space="preserve"> lygio </w:t>
      </w:r>
      <w:r>
        <w:t>1</w:t>
      </w:r>
      <w:r w:rsidR="006928A5">
        <w:t>7</w:t>
      </w:r>
      <w:r>
        <w:t xml:space="preserve"> kategorij</w:t>
      </w:r>
      <w:r w:rsidR="00262D06">
        <w:t>os</w:t>
      </w:r>
      <w:r w:rsidR="005E739D">
        <w:t xml:space="preserve"> koef</w:t>
      </w:r>
      <w:r w:rsidR="00262D06">
        <w:t>icientas</w:t>
      </w:r>
      <w:r w:rsidR="006928A5">
        <w:t xml:space="preserve"> 9</w:t>
      </w:r>
      <w:r w:rsidR="005E739D">
        <w:t>,</w:t>
      </w:r>
      <w:r w:rsidR="006928A5">
        <w:t>7</w:t>
      </w:r>
      <w:r>
        <w:t xml:space="preserve"> ir </w:t>
      </w:r>
      <w:r w:rsidR="002C3454">
        <w:t xml:space="preserve">skirta </w:t>
      </w:r>
      <w:r w:rsidR="006928A5">
        <w:t>4</w:t>
      </w:r>
      <w:r>
        <w:t>0 proc</w:t>
      </w:r>
      <w:r w:rsidR="002C3454">
        <w:t>entų</w:t>
      </w:r>
      <w:r w:rsidR="00262D06">
        <w:t xml:space="preserve"> pareiginės algos </w:t>
      </w:r>
      <w:r>
        <w:t xml:space="preserve"> priemoka). </w:t>
      </w:r>
      <w:r w:rsidR="00E7317D">
        <w:rPr>
          <w:bCs/>
        </w:rPr>
        <w:t>N</w:t>
      </w:r>
      <w:r w:rsidR="000F1790">
        <w:rPr>
          <w:spacing w:val="2"/>
          <w:shd w:val="clear" w:color="auto" w:fill="FFFFFF"/>
        </w:rPr>
        <w:t>uo 2019 m. sausio 1 d.</w:t>
      </w:r>
      <w:r w:rsidR="00346B0F">
        <w:rPr>
          <w:spacing w:val="2"/>
          <w:shd w:val="clear" w:color="auto" w:fill="FFFFFF"/>
        </w:rPr>
        <w:t>,</w:t>
      </w:r>
      <w:r w:rsidR="000F1790">
        <w:rPr>
          <w:spacing w:val="2"/>
          <w:shd w:val="clear" w:color="auto" w:fill="FFFFFF"/>
        </w:rPr>
        <w:t xml:space="preserve"> </w:t>
      </w:r>
      <w:r w:rsidR="00E7317D">
        <w:rPr>
          <w:spacing w:val="2"/>
          <w:shd w:val="clear" w:color="auto" w:fill="FFFFFF"/>
        </w:rPr>
        <w:t>nusta</w:t>
      </w:r>
      <w:r>
        <w:rPr>
          <w:spacing w:val="2"/>
          <w:shd w:val="clear" w:color="auto" w:fill="FFFFFF"/>
        </w:rPr>
        <w:t>čius</w:t>
      </w:r>
      <w:r w:rsidR="00A343EA">
        <w:rPr>
          <w:spacing w:val="2"/>
          <w:shd w:val="clear" w:color="auto" w:fill="FFFFFF"/>
        </w:rPr>
        <w:t xml:space="preserve"> atlyginim</w:t>
      </w:r>
      <w:r w:rsidR="00E7317D">
        <w:rPr>
          <w:spacing w:val="2"/>
          <w:shd w:val="clear" w:color="auto" w:fill="FFFFFF"/>
        </w:rPr>
        <w:t>ą</w:t>
      </w:r>
      <w:r w:rsidR="00A343EA">
        <w:rPr>
          <w:spacing w:val="2"/>
          <w:shd w:val="clear" w:color="auto" w:fill="FFFFFF"/>
        </w:rPr>
        <w:t xml:space="preserve"> pagal </w:t>
      </w:r>
      <w:r w:rsidR="00A343EA">
        <w:t>V</w:t>
      </w:r>
      <w:r w:rsidR="00DC3875">
        <w:t>alstybės tarnybos įstatymo</w:t>
      </w:r>
      <w:r w:rsidR="006D27A1">
        <w:t xml:space="preserve"> naujos redakcijos</w:t>
      </w:r>
      <w:r w:rsidR="00DC3875">
        <w:t xml:space="preserve"> 1 priede </w:t>
      </w:r>
      <w:r w:rsidR="00E7317D">
        <w:t>apibrėžtą</w:t>
      </w:r>
      <w:r w:rsidR="00DC3875">
        <w:t xml:space="preserve"> </w:t>
      </w:r>
      <w:r w:rsidR="00DC3875">
        <w:rPr>
          <w:spacing w:val="2"/>
          <w:shd w:val="clear" w:color="auto" w:fill="FFFFFF"/>
        </w:rPr>
        <w:t>intervalo vidurkį</w:t>
      </w:r>
      <w:r>
        <w:rPr>
          <w:spacing w:val="2"/>
          <w:shd w:val="clear" w:color="auto" w:fill="FFFFFF"/>
        </w:rPr>
        <w:t xml:space="preserve">, </w:t>
      </w:r>
      <w:r w:rsidR="000F1790" w:rsidRPr="00B64035">
        <w:rPr>
          <w:spacing w:val="2"/>
          <w:shd w:val="clear" w:color="auto" w:fill="FFFFFF"/>
        </w:rPr>
        <w:t xml:space="preserve">Klaipėdos miesto savivaldybės administracijos direktoriaus </w:t>
      </w:r>
      <w:r w:rsidR="00893D57">
        <w:rPr>
          <w:spacing w:val="2"/>
          <w:shd w:val="clear" w:color="auto" w:fill="FFFFFF"/>
        </w:rPr>
        <w:t xml:space="preserve">pavaduotojos Alinos Velykienės </w:t>
      </w:r>
      <w:r w:rsidR="000F1790" w:rsidRPr="00B64035">
        <w:rPr>
          <w:spacing w:val="2"/>
          <w:shd w:val="clear" w:color="auto" w:fill="FFFFFF"/>
        </w:rPr>
        <w:t>pareigybės pareiginės algos koeficient</w:t>
      </w:r>
      <w:r w:rsidR="005E739D">
        <w:rPr>
          <w:spacing w:val="2"/>
          <w:shd w:val="clear" w:color="auto" w:fill="FFFFFF"/>
        </w:rPr>
        <w:t>as</w:t>
      </w:r>
      <w:r w:rsidR="000F1790" w:rsidRPr="00B64035">
        <w:rPr>
          <w:spacing w:val="2"/>
          <w:shd w:val="clear" w:color="auto" w:fill="FFFFFF"/>
        </w:rPr>
        <w:t xml:space="preserve"> (baziniais dydžiais) </w:t>
      </w:r>
      <w:r w:rsidR="0026312F">
        <w:rPr>
          <w:spacing w:val="2"/>
          <w:shd w:val="clear" w:color="auto" w:fill="FFFFFF"/>
        </w:rPr>
        <w:t xml:space="preserve">– </w:t>
      </w:r>
      <w:r w:rsidR="00433A1D">
        <w:rPr>
          <w:spacing w:val="2"/>
          <w:shd w:val="clear" w:color="auto" w:fill="FFFFFF"/>
        </w:rPr>
        <w:t>14,25</w:t>
      </w:r>
      <w:r>
        <w:rPr>
          <w:spacing w:val="2"/>
          <w:shd w:val="clear" w:color="auto" w:fill="FFFFFF"/>
        </w:rPr>
        <w:t>.</w:t>
      </w:r>
    </w:p>
    <w:p w14:paraId="0A5AB0E0" w14:textId="77777777" w:rsidR="000931A0" w:rsidRDefault="0021729F" w:rsidP="000931A0">
      <w:pPr>
        <w:ind w:firstLine="709"/>
        <w:jc w:val="both"/>
        <w:rPr>
          <w:color w:val="000000"/>
          <w:shd w:val="clear" w:color="auto" w:fill="FFFFFF"/>
        </w:rPr>
      </w:pPr>
      <w:r w:rsidRPr="00574F01">
        <w:rPr>
          <w:lang w:eastAsia="en-US"/>
        </w:rPr>
        <w:t>Valstybės tarnybos įstatymo</w:t>
      </w:r>
      <w:r>
        <w:rPr>
          <w:lang w:eastAsia="en-US"/>
        </w:rPr>
        <w:t xml:space="preserve"> </w:t>
      </w:r>
      <w:r w:rsidR="00D70F1F" w:rsidRPr="00867864">
        <w:t xml:space="preserve">(2018 m. birželio 29 d. įstatymo Nr. VIII-1316 redakcija) </w:t>
      </w:r>
      <w:r w:rsidR="00D70F1F">
        <w:t xml:space="preserve">             </w:t>
      </w:r>
      <w:r w:rsidR="00A43E56">
        <w:rPr>
          <w:lang w:eastAsia="en-US"/>
        </w:rPr>
        <w:t>30</w:t>
      </w:r>
      <w:r>
        <w:rPr>
          <w:lang w:eastAsia="en-US"/>
        </w:rPr>
        <w:t xml:space="preserve"> straipsnio 1 dal</w:t>
      </w:r>
      <w:r w:rsidR="006D27A1">
        <w:rPr>
          <w:lang w:eastAsia="en-US"/>
        </w:rPr>
        <w:t>yje nustatyta, kad v</w:t>
      </w:r>
      <w:r w:rsidR="006D27A1" w:rsidRPr="006D27A1">
        <w:rPr>
          <w:color w:val="000000"/>
          <w:shd w:val="clear" w:color="auto" w:fill="FFFFFF"/>
        </w:rPr>
        <w:t>alstybės tarnautojui ne ilgesniam kaip 6 mėnesių per kalendorinius metus laikotarpiui gali būti skiriama priemok</w:t>
      </w:r>
      <w:r w:rsidR="006D27A1">
        <w:rPr>
          <w:color w:val="000000"/>
          <w:shd w:val="clear" w:color="auto" w:fill="FFFFFF"/>
        </w:rPr>
        <w:t xml:space="preserve">a </w:t>
      </w:r>
      <w:r w:rsidR="00A43E56" w:rsidRPr="00A43E56">
        <w:rPr>
          <w:color w:val="000000"/>
          <w:shd w:val="clear" w:color="auto" w:fill="FFFFFF"/>
        </w:rPr>
        <w:t xml:space="preserve">už papildomų užduočių, suformuluotų raštu, atlikimą, kai dėl to viršijamas įprastas darbo krūvis arba kai vykdomos pareigybės aprašyme nenumatytos funkcijos. </w:t>
      </w:r>
      <w:r w:rsidR="00A43E56" w:rsidRPr="00255001">
        <w:rPr>
          <w:color w:val="000000"/>
          <w:shd w:val="clear" w:color="auto" w:fill="FFFFFF"/>
        </w:rPr>
        <w:t xml:space="preserve">Priemokos už </w:t>
      </w:r>
      <w:r w:rsidR="00D34F9C" w:rsidRPr="00255001">
        <w:rPr>
          <w:color w:val="000000"/>
          <w:shd w:val="clear" w:color="auto" w:fill="FFFFFF"/>
        </w:rPr>
        <w:t>pareigybės aprašyme nenumatytų funkcijų atlikimą (</w:t>
      </w:r>
      <w:r w:rsidR="00B83ECE">
        <w:rPr>
          <w:color w:val="000000"/>
          <w:shd w:val="clear" w:color="auto" w:fill="FFFFFF"/>
        </w:rPr>
        <w:t>Savivaldybės administracijos atstovavim</w:t>
      </w:r>
      <w:r w:rsidR="00BD113A">
        <w:rPr>
          <w:color w:val="000000"/>
          <w:shd w:val="clear" w:color="auto" w:fill="FFFFFF"/>
        </w:rPr>
        <w:t>ą</w:t>
      </w:r>
      <w:r w:rsidR="00D34F9C" w:rsidRPr="00255001">
        <w:rPr>
          <w:color w:val="000000"/>
          <w:shd w:val="clear" w:color="auto" w:fill="FFFFFF"/>
        </w:rPr>
        <w:t xml:space="preserve"> po darbo valandų</w:t>
      </w:r>
      <w:r w:rsidR="00B83ECE">
        <w:rPr>
          <w:color w:val="000000"/>
          <w:shd w:val="clear" w:color="auto" w:fill="FFFFFF"/>
        </w:rPr>
        <w:t xml:space="preserve"> bei poilsio dienomis</w:t>
      </w:r>
      <w:r w:rsidR="00D34F9C" w:rsidRPr="00255001">
        <w:rPr>
          <w:color w:val="000000"/>
          <w:shd w:val="clear" w:color="auto" w:fill="FFFFFF"/>
        </w:rPr>
        <w:t xml:space="preserve">) </w:t>
      </w:r>
      <w:r w:rsidR="00A43E56" w:rsidRPr="00255001">
        <w:rPr>
          <w:color w:val="000000"/>
          <w:shd w:val="clear" w:color="auto" w:fill="FFFFFF"/>
        </w:rPr>
        <w:t>dydį nustato valstybės tarnautoją į pareigas priimantis asmuo</w:t>
      </w:r>
      <w:r w:rsidR="005E739D" w:rsidRPr="00255001">
        <w:rPr>
          <w:color w:val="000000"/>
          <w:shd w:val="clear" w:color="auto" w:fill="FFFFFF"/>
        </w:rPr>
        <w:t xml:space="preserve">. </w:t>
      </w:r>
      <w:r w:rsidR="004E0FF7" w:rsidRPr="00255001">
        <w:rPr>
          <w:color w:val="000000"/>
          <w:shd w:val="clear" w:color="auto" w:fill="FFFFFF"/>
        </w:rPr>
        <w:t>Priemok</w:t>
      </w:r>
      <w:r w:rsidR="004E0FF7">
        <w:rPr>
          <w:color w:val="000000"/>
          <w:shd w:val="clear" w:color="auto" w:fill="FFFFFF"/>
        </w:rPr>
        <w:t>os</w:t>
      </w:r>
      <w:r w:rsidR="004E0FF7" w:rsidRPr="00255001">
        <w:rPr>
          <w:color w:val="000000"/>
          <w:shd w:val="clear" w:color="auto" w:fill="FFFFFF"/>
        </w:rPr>
        <w:t xml:space="preserve"> </w:t>
      </w:r>
      <w:r w:rsidR="00A43E56" w:rsidRPr="00255001">
        <w:rPr>
          <w:color w:val="000000"/>
          <w:shd w:val="clear" w:color="auto" w:fill="FFFFFF"/>
        </w:rPr>
        <w:t>d</w:t>
      </w:r>
      <w:r w:rsidR="005E739D" w:rsidRPr="00255001">
        <w:rPr>
          <w:color w:val="000000"/>
          <w:shd w:val="clear" w:color="auto" w:fill="FFFFFF"/>
        </w:rPr>
        <w:t>ydis neturi viršyti</w:t>
      </w:r>
      <w:r w:rsidR="00A43E56" w:rsidRPr="00255001">
        <w:rPr>
          <w:color w:val="000000"/>
          <w:shd w:val="clear" w:color="auto" w:fill="FFFFFF"/>
        </w:rPr>
        <w:t xml:space="preserve"> 40 procentų pareiginės algos.</w:t>
      </w:r>
    </w:p>
    <w:p w14:paraId="0A5AB0E1" w14:textId="77777777" w:rsidR="00A61757" w:rsidRDefault="006D27A1" w:rsidP="00A61757">
      <w:pPr>
        <w:ind w:firstLine="709"/>
        <w:jc w:val="both"/>
        <w:rPr>
          <w:spacing w:val="2"/>
          <w:shd w:val="clear" w:color="auto" w:fill="FFFFFF"/>
        </w:rPr>
      </w:pPr>
      <w:r w:rsidRPr="00255001">
        <w:rPr>
          <w:color w:val="000000"/>
          <w:shd w:val="clear" w:color="auto" w:fill="FFFFFF"/>
        </w:rPr>
        <w:t>Administracijos direktori</w:t>
      </w:r>
      <w:r w:rsidR="004A4977">
        <w:rPr>
          <w:color w:val="000000"/>
          <w:shd w:val="clear" w:color="auto" w:fill="FFFFFF"/>
        </w:rPr>
        <w:t>a</w:t>
      </w:r>
      <w:r w:rsidRPr="00255001">
        <w:rPr>
          <w:color w:val="000000"/>
          <w:shd w:val="clear" w:color="auto" w:fill="FFFFFF"/>
        </w:rPr>
        <w:t>u</w:t>
      </w:r>
      <w:r w:rsidR="004A4977">
        <w:rPr>
          <w:color w:val="000000"/>
          <w:shd w:val="clear" w:color="auto" w:fill="FFFFFF"/>
        </w:rPr>
        <w:t>s pavaduotojai Alinai Velykienei</w:t>
      </w:r>
      <w:r w:rsidRPr="00255001">
        <w:rPr>
          <w:color w:val="000000"/>
          <w:shd w:val="clear" w:color="auto" w:fill="FFFFFF"/>
        </w:rPr>
        <w:t xml:space="preserve"> </w:t>
      </w:r>
      <w:r w:rsidR="00A61757">
        <w:rPr>
          <w:color w:val="000000"/>
          <w:shd w:val="clear" w:color="auto" w:fill="FFFFFF"/>
        </w:rPr>
        <w:t>skiriama priemoka nustatoma terminuotai nuo 2019 m. sausio 1 d. iki kadencijos pabaigos, bet neilgiau kaip 6 mėnesių laikotarpiui.</w:t>
      </w:r>
    </w:p>
    <w:p w14:paraId="0A5AB0E2" w14:textId="77777777" w:rsidR="005C3B0D" w:rsidRDefault="005C3B0D" w:rsidP="00867864">
      <w:pPr>
        <w:ind w:firstLine="709"/>
        <w:jc w:val="both"/>
        <w:rPr>
          <w:b/>
        </w:rPr>
      </w:pPr>
    </w:p>
    <w:p w14:paraId="0A5AB0E3" w14:textId="77777777" w:rsidR="00335BA6" w:rsidRPr="00867864" w:rsidRDefault="00335BA6" w:rsidP="00867864">
      <w:pPr>
        <w:ind w:firstLine="709"/>
        <w:jc w:val="both"/>
        <w:rPr>
          <w:b/>
        </w:rPr>
      </w:pPr>
      <w:r w:rsidRPr="00867864">
        <w:rPr>
          <w:b/>
        </w:rPr>
        <w:t>2. Projekto rengimo priežastys ir kuo remiantis parengtas sprendimo projektas</w:t>
      </w:r>
    </w:p>
    <w:p w14:paraId="0A5AB0E4" w14:textId="77777777" w:rsidR="00335BA6" w:rsidRPr="00867864" w:rsidRDefault="00335BA6" w:rsidP="00346B0F">
      <w:pPr>
        <w:ind w:firstLine="709"/>
        <w:jc w:val="both"/>
        <w:rPr>
          <w:color w:val="000000"/>
        </w:rPr>
      </w:pPr>
      <w:r w:rsidRPr="00867864">
        <w:rPr>
          <w:bCs/>
        </w:rPr>
        <w:t xml:space="preserve">Vietos savivaldos įstatymo 16 straipsnio </w:t>
      </w:r>
      <w:r w:rsidR="0000315A" w:rsidRPr="00867864">
        <w:rPr>
          <w:color w:val="000000"/>
        </w:rPr>
        <w:t xml:space="preserve">2 dalies </w:t>
      </w:r>
      <w:r w:rsidR="000F1790">
        <w:rPr>
          <w:color w:val="000000"/>
        </w:rPr>
        <w:t xml:space="preserve">9 </w:t>
      </w:r>
      <w:r w:rsidRPr="00867864">
        <w:rPr>
          <w:color w:val="000000"/>
        </w:rPr>
        <w:t xml:space="preserve">punkte nurodyta, kad išimtinė savivaldybės tarybos kompetencija yra </w:t>
      </w:r>
      <w:r w:rsidR="000F1790">
        <w:rPr>
          <w:szCs w:val="20"/>
        </w:rPr>
        <w:t>savivaldybės administracijos direktoriaus ir savivaldybės administracijos direktoriaus pavaduotojo darbo užmokesčio nustatymas.</w:t>
      </w:r>
    </w:p>
    <w:p w14:paraId="0A5AB0E5" w14:textId="77777777" w:rsidR="005C3B0D" w:rsidRDefault="005C3B0D" w:rsidP="00867864">
      <w:pPr>
        <w:ind w:firstLine="709"/>
        <w:jc w:val="both"/>
        <w:rPr>
          <w:b/>
          <w:bCs/>
        </w:rPr>
      </w:pPr>
    </w:p>
    <w:p w14:paraId="0A5AB0E6" w14:textId="77777777" w:rsidR="00335BA6" w:rsidRPr="00867864" w:rsidRDefault="00335BA6" w:rsidP="00867864">
      <w:pPr>
        <w:ind w:firstLine="709"/>
        <w:jc w:val="both"/>
        <w:rPr>
          <w:b/>
          <w:bCs/>
        </w:rPr>
      </w:pPr>
      <w:r w:rsidRPr="00867864">
        <w:rPr>
          <w:b/>
          <w:bCs/>
        </w:rPr>
        <w:t xml:space="preserve">3. Kokių rezultatų laukiama. </w:t>
      </w:r>
    </w:p>
    <w:p w14:paraId="0A5AB0E7" w14:textId="77777777" w:rsidR="00335BA6" w:rsidRPr="00867864" w:rsidRDefault="00B64035" w:rsidP="00867864">
      <w:pPr>
        <w:ind w:firstLine="709"/>
        <w:jc w:val="both"/>
      </w:pPr>
      <w:r>
        <w:rPr>
          <w:bCs/>
        </w:rPr>
        <w:t>B</w:t>
      </w:r>
      <w:r w:rsidR="00195DBD">
        <w:rPr>
          <w:bCs/>
        </w:rPr>
        <w:t xml:space="preserve">us </w:t>
      </w:r>
      <w:r>
        <w:rPr>
          <w:bCs/>
        </w:rPr>
        <w:t xml:space="preserve">nustatytas </w:t>
      </w:r>
      <w:r w:rsidR="00CA0DDD">
        <w:rPr>
          <w:bCs/>
        </w:rPr>
        <w:t xml:space="preserve">didesnis </w:t>
      </w:r>
      <w:r w:rsidR="00331C47">
        <w:rPr>
          <w:bCs/>
        </w:rPr>
        <w:t xml:space="preserve">Savivaldybės </w:t>
      </w:r>
      <w:r>
        <w:rPr>
          <w:bCs/>
        </w:rPr>
        <w:t>administracijos direktori</w:t>
      </w:r>
      <w:r w:rsidR="00CA0DDD">
        <w:rPr>
          <w:bCs/>
        </w:rPr>
        <w:t xml:space="preserve">aus </w:t>
      </w:r>
      <w:r w:rsidR="00F9651C">
        <w:rPr>
          <w:bCs/>
        </w:rPr>
        <w:t>pavaduotojos Alinos Velykienės</w:t>
      </w:r>
      <w:r w:rsidR="00A417A0">
        <w:rPr>
          <w:bCs/>
        </w:rPr>
        <w:t xml:space="preserve"> darbo užmokestis</w:t>
      </w:r>
      <w:r w:rsidR="00346B0F">
        <w:rPr>
          <w:bCs/>
        </w:rPr>
        <w:t xml:space="preserve">. </w:t>
      </w:r>
    </w:p>
    <w:p w14:paraId="0A5AB0E8" w14:textId="77777777" w:rsidR="005C3B0D" w:rsidRDefault="005C3B0D" w:rsidP="00867864">
      <w:pPr>
        <w:ind w:firstLine="709"/>
        <w:jc w:val="both"/>
        <w:rPr>
          <w:b/>
          <w:bCs/>
        </w:rPr>
      </w:pPr>
    </w:p>
    <w:p w14:paraId="0A5AB0E9" w14:textId="77777777" w:rsidR="00335BA6" w:rsidRPr="00867864" w:rsidRDefault="00335BA6" w:rsidP="00867864">
      <w:pPr>
        <w:ind w:firstLine="709"/>
        <w:jc w:val="both"/>
        <w:rPr>
          <w:b/>
        </w:rPr>
      </w:pPr>
      <w:r w:rsidRPr="00867864">
        <w:rPr>
          <w:b/>
          <w:bCs/>
        </w:rPr>
        <w:t>4. Sprendimo projekto rengimo metu gauti specialistų vertinimai.</w:t>
      </w:r>
    </w:p>
    <w:p w14:paraId="0A5AB0EA" w14:textId="77777777" w:rsidR="00335BA6" w:rsidRPr="00867864" w:rsidRDefault="00335BA6" w:rsidP="00867864">
      <w:pPr>
        <w:ind w:firstLine="709"/>
        <w:jc w:val="both"/>
      </w:pPr>
      <w:r w:rsidRPr="00867864">
        <w:t>Nėra.</w:t>
      </w:r>
    </w:p>
    <w:p w14:paraId="0A5AB0EB" w14:textId="77777777" w:rsidR="005C3B0D" w:rsidRDefault="005C3B0D" w:rsidP="00867864">
      <w:pPr>
        <w:ind w:firstLine="709"/>
        <w:jc w:val="both"/>
        <w:rPr>
          <w:b/>
          <w:bCs/>
        </w:rPr>
      </w:pPr>
    </w:p>
    <w:p w14:paraId="0A5AB0EC" w14:textId="77777777" w:rsidR="00335BA6" w:rsidRPr="00867864" w:rsidRDefault="00335BA6" w:rsidP="00867864">
      <w:pPr>
        <w:ind w:firstLine="709"/>
        <w:jc w:val="both"/>
        <w:rPr>
          <w:b/>
          <w:bCs/>
        </w:rPr>
      </w:pPr>
      <w:r w:rsidRPr="00867864">
        <w:rPr>
          <w:b/>
          <w:bCs/>
        </w:rPr>
        <w:t>5. Išlaidų sąmatos, skaičiavimai, reikalingi pagrindimai ir paaiškinimai.</w:t>
      </w:r>
    </w:p>
    <w:p w14:paraId="0A5AB0ED" w14:textId="77777777" w:rsidR="00335BA6" w:rsidRPr="00DC3875" w:rsidRDefault="00DC3875" w:rsidP="00867864">
      <w:pPr>
        <w:ind w:firstLine="709"/>
        <w:jc w:val="both"/>
        <w:rPr>
          <w:lang w:val="en-US"/>
        </w:rPr>
      </w:pPr>
      <w:r>
        <w:t>Nėra.</w:t>
      </w:r>
    </w:p>
    <w:p w14:paraId="0A5AB0EE" w14:textId="77777777" w:rsidR="00695AB3" w:rsidRDefault="00695AB3" w:rsidP="00867864">
      <w:pPr>
        <w:ind w:firstLine="709"/>
        <w:jc w:val="both"/>
        <w:rPr>
          <w:b/>
        </w:rPr>
      </w:pPr>
    </w:p>
    <w:p w14:paraId="0A5AB0EF" w14:textId="77777777" w:rsidR="00D87209" w:rsidRDefault="00D87209" w:rsidP="00867864">
      <w:pPr>
        <w:ind w:firstLine="709"/>
        <w:jc w:val="both"/>
        <w:rPr>
          <w:b/>
        </w:rPr>
      </w:pPr>
    </w:p>
    <w:p w14:paraId="0A5AB0F0" w14:textId="77777777" w:rsidR="00BB035F" w:rsidRDefault="00BB035F" w:rsidP="00BB035F">
      <w:pPr>
        <w:ind w:firstLine="709"/>
        <w:jc w:val="both"/>
      </w:pPr>
      <w:r>
        <w:rPr>
          <w:b/>
        </w:rPr>
        <w:lastRenderedPageBreak/>
        <w:t>6. Lėšų poreikis sprendimo įgyvendinimui</w:t>
      </w:r>
      <w:r>
        <w:rPr>
          <w:b/>
          <w:bCs/>
        </w:rPr>
        <w:t>.</w:t>
      </w:r>
      <w:r>
        <w:t xml:space="preserve"> </w:t>
      </w:r>
    </w:p>
    <w:p w14:paraId="0A5AB0F1" w14:textId="77777777" w:rsidR="00BB035F" w:rsidRDefault="00BB035F" w:rsidP="00BB035F">
      <w:pPr>
        <w:ind w:firstLine="709"/>
        <w:jc w:val="both"/>
      </w:pPr>
      <w:r>
        <w:t>Priemokos dydis iki numatomos kadencijos pabaigos 4 mėnesiams sudarytų:</w:t>
      </w:r>
    </w:p>
    <w:p w14:paraId="0A5AB0F2" w14:textId="77777777" w:rsidR="00BB035F" w:rsidRDefault="00BB035F" w:rsidP="00BB035F">
      <w:pPr>
        <w:ind w:firstLine="709"/>
        <w:jc w:val="center"/>
        <w:rPr>
          <w:b/>
          <w:bCs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2860"/>
        <w:gridCol w:w="1420"/>
        <w:gridCol w:w="1500"/>
        <w:gridCol w:w="1500"/>
        <w:gridCol w:w="1500"/>
      </w:tblGrid>
      <w:tr w:rsidR="00BB035F" w14:paraId="0A5AB0F5" w14:textId="77777777" w:rsidTr="00BB035F">
        <w:trPr>
          <w:trHeight w:val="315"/>
          <w:jc w:val="center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5AB0F3" w14:textId="77777777" w:rsidR="00BB035F" w:rsidRDefault="00BB035F">
            <w:pPr>
              <w:jc w:val="center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 </w:t>
            </w:r>
          </w:p>
        </w:tc>
        <w:tc>
          <w:tcPr>
            <w:tcW w:w="5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B9C"/>
            <w:vAlign w:val="bottom"/>
            <w:hideMark/>
          </w:tcPr>
          <w:p w14:paraId="0A5AB0F4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Nuo 2019-01-01 nustatoma</w:t>
            </w:r>
          </w:p>
        </w:tc>
      </w:tr>
      <w:tr w:rsidR="00BB035F" w14:paraId="0A5AB0F9" w14:textId="77777777" w:rsidTr="00BB035F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5AB0F6" w14:textId="77777777" w:rsidR="00BB035F" w:rsidRDefault="00BB035F">
            <w:pPr>
              <w:rPr>
                <w:b/>
                <w:bCs/>
                <w:color w:val="3F3F3F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EB9C"/>
            <w:vAlign w:val="center"/>
            <w:hideMark/>
          </w:tcPr>
          <w:p w14:paraId="0A5AB0F7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Pareiginės algos koef.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B9C"/>
            <w:vAlign w:val="bottom"/>
            <w:hideMark/>
          </w:tcPr>
          <w:p w14:paraId="0A5AB0F8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Priemoka</w:t>
            </w:r>
          </w:p>
        </w:tc>
      </w:tr>
      <w:tr w:rsidR="00BB035F" w14:paraId="0A5AB0FF" w14:textId="77777777" w:rsidTr="00BB035F">
        <w:trPr>
          <w:trHeight w:val="6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5AB0FA" w14:textId="77777777" w:rsidR="00BB035F" w:rsidRDefault="00BB035F">
            <w:pPr>
              <w:rPr>
                <w:b/>
                <w:bCs/>
                <w:color w:val="3F3F3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5AB0FB" w14:textId="77777777" w:rsidR="00BB035F" w:rsidRDefault="00BB035F">
            <w:pPr>
              <w:rPr>
                <w:b/>
                <w:bCs/>
                <w:color w:val="9C65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EB9C"/>
            <w:vAlign w:val="center"/>
            <w:hideMark/>
          </w:tcPr>
          <w:p w14:paraId="0A5AB0FC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Procentais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14:paraId="0A5AB0FD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Poreikis Eur 1 mėn.*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EB9C"/>
            <w:vAlign w:val="center"/>
            <w:hideMark/>
          </w:tcPr>
          <w:p w14:paraId="0A5AB0FE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Poreikis Eur 4 mėn.*</w:t>
            </w:r>
          </w:p>
        </w:tc>
      </w:tr>
      <w:tr w:rsidR="00BB035F" w14:paraId="0A5AB101" w14:textId="77777777" w:rsidTr="00BB035F">
        <w:trPr>
          <w:trHeight w:val="345"/>
          <w:jc w:val="center"/>
        </w:trPr>
        <w:tc>
          <w:tcPr>
            <w:tcW w:w="8780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vAlign w:val="bottom"/>
            <w:hideMark/>
          </w:tcPr>
          <w:p w14:paraId="0A5AB100" w14:textId="77777777" w:rsidR="00BB035F" w:rsidRDefault="00BB03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Savivaldybės administracijos direktoriaus pavaduotojai</w:t>
            </w:r>
          </w:p>
        </w:tc>
      </w:tr>
      <w:tr w:rsidR="00BB035F" w14:paraId="0A5AB107" w14:textId="77777777" w:rsidTr="00BB035F">
        <w:trPr>
          <w:trHeight w:val="33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A5AB102" w14:textId="77777777" w:rsidR="00BB035F" w:rsidRDefault="00BB035F">
            <w:pPr>
              <w:rPr>
                <w:color w:val="000000"/>
              </w:rPr>
            </w:pPr>
            <w:r>
              <w:rPr>
                <w:color w:val="000000"/>
              </w:rPr>
              <w:t>Alina Velykienė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03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14,25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04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05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246,53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B9C"/>
            <w:noWrap/>
            <w:vAlign w:val="bottom"/>
            <w:hideMark/>
          </w:tcPr>
          <w:p w14:paraId="0A5AB106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986,1</w:t>
            </w:r>
          </w:p>
        </w:tc>
      </w:tr>
      <w:tr w:rsidR="00BB035F" w14:paraId="0A5AB10D" w14:textId="77777777" w:rsidTr="00BB035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AB108" w14:textId="77777777" w:rsidR="00BB035F" w:rsidRDefault="00BB035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09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0A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0B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493,05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B9C"/>
            <w:noWrap/>
            <w:vAlign w:val="bottom"/>
            <w:hideMark/>
          </w:tcPr>
          <w:p w14:paraId="0A5AB10C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1972,2</w:t>
            </w:r>
          </w:p>
        </w:tc>
      </w:tr>
      <w:tr w:rsidR="00BB035F" w14:paraId="0A5AB113" w14:textId="77777777" w:rsidTr="00BB035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AB10E" w14:textId="77777777" w:rsidR="00BB035F" w:rsidRDefault="00BB035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0F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10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11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739,58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B9C"/>
            <w:noWrap/>
            <w:vAlign w:val="bottom"/>
            <w:hideMark/>
          </w:tcPr>
          <w:p w14:paraId="0A5AB112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2958,3</w:t>
            </w:r>
          </w:p>
        </w:tc>
      </w:tr>
      <w:tr w:rsidR="00BB035F" w14:paraId="0A5AB119" w14:textId="77777777" w:rsidTr="00BB035F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AB114" w14:textId="77777777" w:rsidR="00BB035F" w:rsidRDefault="00BB035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15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16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EB9C"/>
            <w:noWrap/>
            <w:vAlign w:val="bottom"/>
            <w:hideMark/>
          </w:tcPr>
          <w:p w14:paraId="0A5AB117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986,10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noWrap/>
            <w:vAlign w:val="bottom"/>
            <w:hideMark/>
          </w:tcPr>
          <w:p w14:paraId="0A5AB118" w14:textId="77777777" w:rsidR="00BB035F" w:rsidRDefault="00BB035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3944,4</w:t>
            </w:r>
          </w:p>
        </w:tc>
      </w:tr>
      <w:tr w:rsidR="00BB035F" w14:paraId="0A5AB11E" w14:textId="77777777" w:rsidTr="00BB035F">
        <w:trPr>
          <w:trHeight w:val="315"/>
          <w:jc w:val="center"/>
        </w:trPr>
        <w:tc>
          <w:tcPr>
            <w:tcW w:w="4280" w:type="dxa"/>
            <w:gridSpan w:val="2"/>
            <w:shd w:val="clear" w:color="auto" w:fill="FFFFFF"/>
            <w:noWrap/>
            <w:vAlign w:val="bottom"/>
            <w:hideMark/>
          </w:tcPr>
          <w:p w14:paraId="0A5AB11A" w14:textId="77777777" w:rsidR="00BB035F" w:rsidRDefault="00BB035F">
            <w:pPr>
              <w:rPr>
                <w:color w:val="000000"/>
              </w:rPr>
            </w:pPr>
            <w:r>
              <w:rPr>
                <w:color w:val="000000"/>
              </w:rPr>
              <w:t>* su konsoliduotais SODRA mokesčiais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14:paraId="0A5AB11B" w14:textId="77777777" w:rsidR="00BB035F" w:rsidRDefault="00BB0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14:paraId="0A5AB11C" w14:textId="77777777" w:rsidR="00BB035F" w:rsidRDefault="00BB0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14:paraId="0A5AB11D" w14:textId="77777777" w:rsidR="00BB035F" w:rsidRDefault="00BB03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A5AB11F" w14:textId="77777777" w:rsidR="00BB035F" w:rsidRDefault="00BB035F" w:rsidP="00BB035F">
      <w:pPr>
        <w:ind w:firstLine="709"/>
        <w:jc w:val="center"/>
        <w:rPr>
          <w:b/>
          <w:bCs/>
        </w:rPr>
      </w:pPr>
    </w:p>
    <w:p w14:paraId="0A5AB120" w14:textId="77777777" w:rsidR="00BB035F" w:rsidRDefault="00BB035F" w:rsidP="00BB035F">
      <w:pPr>
        <w:ind w:firstLine="709"/>
        <w:jc w:val="both"/>
        <w:rPr>
          <w:b/>
          <w:bCs/>
        </w:rPr>
      </w:pPr>
      <w:r>
        <w:rPr>
          <w:b/>
          <w:bCs/>
        </w:rPr>
        <w:t>7. Galimos teigiamos ar neigiamos sprendimo priėmimo pasekmės.</w:t>
      </w:r>
    </w:p>
    <w:p w14:paraId="0A5AB121" w14:textId="77777777" w:rsidR="00BB035F" w:rsidRDefault="00BB035F" w:rsidP="00BB035F">
      <w:pPr>
        <w:ind w:firstLine="709"/>
        <w:jc w:val="both"/>
        <w:rPr>
          <w:bCs/>
        </w:rPr>
      </w:pPr>
      <w:r>
        <w:rPr>
          <w:bCs/>
        </w:rPr>
        <w:t xml:space="preserve">Teigiamos pasekmės – bus įgyvendinti teisės aktai, nustatytas darbo užmokestis. Neigiamos pasekmės – nenumatyta. </w:t>
      </w:r>
    </w:p>
    <w:p w14:paraId="0A5AB122" w14:textId="77777777" w:rsidR="00BB035F" w:rsidRDefault="00BB035F" w:rsidP="00BB035F">
      <w:pPr>
        <w:tabs>
          <w:tab w:val="left" w:pos="993"/>
        </w:tabs>
        <w:ind w:firstLine="709"/>
        <w:jc w:val="both"/>
        <w:rPr>
          <w:lang w:eastAsia="en-US"/>
        </w:rPr>
      </w:pPr>
      <w:r>
        <w:rPr>
          <w:lang w:eastAsia="en-US"/>
        </w:rPr>
        <w:t>PRIDEDAMA. Teisės aktų išrašas, 1 lapas.</w:t>
      </w:r>
    </w:p>
    <w:p w14:paraId="0A5AB123" w14:textId="77777777" w:rsidR="00D537D8" w:rsidRPr="00867864" w:rsidRDefault="00D537D8" w:rsidP="00867864">
      <w:pPr>
        <w:jc w:val="both"/>
        <w:rPr>
          <w:lang w:eastAsia="en-US"/>
        </w:rPr>
      </w:pPr>
    </w:p>
    <w:p w14:paraId="0A5AB124" w14:textId="77777777" w:rsidR="00335BA6" w:rsidRPr="00867864" w:rsidRDefault="00335BA6" w:rsidP="00867864">
      <w:pPr>
        <w:ind w:left="360"/>
        <w:jc w:val="both"/>
      </w:pPr>
    </w:p>
    <w:p w14:paraId="0A5AB125" w14:textId="77777777" w:rsidR="00D70F1F" w:rsidRDefault="00E7317D" w:rsidP="00867864">
      <w:pPr>
        <w:jc w:val="both"/>
      </w:pPr>
      <w:r>
        <w:t xml:space="preserve">Personalo skyriaus </w:t>
      </w:r>
      <w:r w:rsidR="00D70F1F">
        <w:t>v</w:t>
      </w:r>
      <w:r w:rsidR="00923959">
        <w:t>edėja</w:t>
      </w:r>
      <w:r w:rsidR="00923959">
        <w:tab/>
      </w:r>
      <w:r w:rsidR="00923959">
        <w:tab/>
      </w:r>
      <w:r w:rsidR="00923959">
        <w:tab/>
      </w:r>
      <w:r w:rsidR="00923959">
        <w:tab/>
        <w:t>Inga Gelžinytė-Litinskienė</w:t>
      </w:r>
    </w:p>
    <w:sectPr w:rsidR="00D70F1F" w:rsidSect="008125EB">
      <w:pgSz w:w="11906" w:h="16838" w:code="9"/>
      <w:pgMar w:top="1418" w:right="680" w:bottom="1418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AB128" w14:textId="77777777" w:rsidR="004D72FF" w:rsidRDefault="004D72FF">
      <w:r>
        <w:separator/>
      </w:r>
    </w:p>
  </w:endnote>
  <w:endnote w:type="continuationSeparator" w:id="0">
    <w:p w14:paraId="0A5AB129" w14:textId="77777777" w:rsidR="004D72FF" w:rsidRDefault="004D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AB126" w14:textId="77777777" w:rsidR="004D72FF" w:rsidRDefault="004D72FF">
      <w:r>
        <w:separator/>
      </w:r>
    </w:p>
  </w:footnote>
  <w:footnote w:type="continuationSeparator" w:id="0">
    <w:p w14:paraId="0A5AB127" w14:textId="77777777" w:rsidR="004D72FF" w:rsidRDefault="004D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047A1C"/>
    <w:multiLevelType w:val="hybridMultilevel"/>
    <w:tmpl w:val="3CFE45E4"/>
    <w:lvl w:ilvl="0" w:tplc="519063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35227"/>
    <w:multiLevelType w:val="multilevel"/>
    <w:tmpl w:val="8D20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9DF6D2F"/>
    <w:multiLevelType w:val="multilevel"/>
    <w:tmpl w:val="32D69DE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10C27B0"/>
    <w:multiLevelType w:val="hybridMultilevel"/>
    <w:tmpl w:val="5870423E"/>
    <w:lvl w:ilvl="0" w:tplc="85CAF49A">
      <w:start w:val="1"/>
      <w:numFmt w:val="decimal"/>
      <w:lvlText w:val="%1."/>
      <w:lvlJc w:val="left"/>
      <w:pPr>
        <w:ind w:left="1444" w:hanging="73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52A202B"/>
    <w:multiLevelType w:val="multilevel"/>
    <w:tmpl w:val="8258E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B804182"/>
    <w:multiLevelType w:val="multilevel"/>
    <w:tmpl w:val="C098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BC37EA"/>
    <w:multiLevelType w:val="multilevel"/>
    <w:tmpl w:val="9F96C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649153AE"/>
    <w:multiLevelType w:val="multilevel"/>
    <w:tmpl w:val="32D69DE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95636C4"/>
    <w:multiLevelType w:val="hybridMultilevel"/>
    <w:tmpl w:val="31B41DB2"/>
    <w:lvl w:ilvl="0" w:tplc="3E00E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ED"/>
    <w:rsid w:val="0000315A"/>
    <w:rsid w:val="000033AB"/>
    <w:rsid w:val="0000424B"/>
    <w:rsid w:val="00004CF8"/>
    <w:rsid w:val="00007CEB"/>
    <w:rsid w:val="00011F63"/>
    <w:rsid w:val="000176E6"/>
    <w:rsid w:val="00022FBD"/>
    <w:rsid w:val="00024033"/>
    <w:rsid w:val="0002578B"/>
    <w:rsid w:val="00030F28"/>
    <w:rsid w:val="00035BDD"/>
    <w:rsid w:val="00060A43"/>
    <w:rsid w:val="00060DAB"/>
    <w:rsid w:val="00062A36"/>
    <w:rsid w:val="00064323"/>
    <w:rsid w:val="00073379"/>
    <w:rsid w:val="00073C30"/>
    <w:rsid w:val="000828AC"/>
    <w:rsid w:val="00086D6C"/>
    <w:rsid w:val="00087F46"/>
    <w:rsid w:val="000931A0"/>
    <w:rsid w:val="00094275"/>
    <w:rsid w:val="00095DD9"/>
    <w:rsid w:val="000A2287"/>
    <w:rsid w:val="000A76C9"/>
    <w:rsid w:val="000A7AB2"/>
    <w:rsid w:val="000B5543"/>
    <w:rsid w:val="000C00E0"/>
    <w:rsid w:val="000C4CDB"/>
    <w:rsid w:val="000D2095"/>
    <w:rsid w:val="000D494E"/>
    <w:rsid w:val="000E0466"/>
    <w:rsid w:val="000E7239"/>
    <w:rsid w:val="000F001C"/>
    <w:rsid w:val="000F1790"/>
    <w:rsid w:val="000F1EDF"/>
    <w:rsid w:val="001005D0"/>
    <w:rsid w:val="00122E4A"/>
    <w:rsid w:val="001252F5"/>
    <w:rsid w:val="001302AB"/>
    <w:rsid w:val="00132059"/>
    <w:rsid w:val="00135F2D"/>
    <w:rsid w:val="00136BB2"/>
    <w:rsid w:val="00143497"/>
    <w:rsid w:val="00143A85"/>
    <w:rsid w:val="00143C34"/>
    <w:rsid w:val="001456DE"/>
    <w:rsid w:val="00162D57"/>
    <w:rsid w:val="001727BA"/>
    <w:rsid w:val="00177C50"/>
    <w:rsid w:val="00181ADB"/>
    <w:rsid w:val="00184774"/>
    <w:rsid w:val="00195DBD"/>
    <w:rsid w:val="001A0CB0"/>
    <w:rsid w:val="001A5BE3"/>
    <w:rsid w:val="001B1905"/>
    <w:rsid w:val="001B3C12"/>
    <w:rsid w:val="001B6141"/>
    <w:rsid w:val="001C096B"/>
    <w:rsid w:val="001C153B"/>
    <w:rsid w:val="001D622B"/>
    <w:rsid w:val="001E0515"/>
    <w:rsid w:val="001F238A"/>
    <w:rsid w:val="001F4672"/>
    <w:rsid w:val="001F7971"/>
    <w:rsid w:val="00203339"/>
    <w:rsid w:val="0021095D"/>
    <w:rsid w:val="00211B1D"/>
    <w:rsid w:val="00211D13"/>
    <w:rsid w:val="002145DC"/>
    <w:rsid w:val="0021729F"/>
    <w:rsid w:val="00230D40"/>
    <w:rsid w:val="00231AB9"/>
    <w:rsid w:val="0023226D"/>
    <w:rsid w:val="00232DF2"/>
    <w:rsid w:val="00236FF4"/>
    <w:rsid w:val="002542A5"/>
    <w:rsid w:val="00255001"/>
    <w:rsid w:val="00255942"/>
    <w:rsid w:val="002626D1"/>
    <w:rsid w:val="00262D06"/>
    <w:rsid w:val="0026312F"/>
    <w:rsid w:val="0026799F"/>
    <w:rsid w:val="002723F9"/>
    <w:rsid w:val="0028000D"/>
    <w:rsid w:val="00285271"/>
    <w:rsid w:val="00297754"/>
    <w:rsid w:val="002A125F"/>
    <w:rsid w:val="002A23E7"/>
    <w:rsid w:val="002A2613"/>
    <w:rsid w:val="002B4321"/>
    <w:rsid w:val="002B7003"/>
    <w:rsid w:val="002C3454"/>
    <w:rsid w:val="002D312E"/>
    <w:rsid w:val="002E3E31"/>
    <w:rsid w:val="002E761D"/>
    <w:rsid w:val="002F3810"/>
    <w:rsid w:val="002F7696"/>
    <w:rsid w:val="003130A9"/>
    <w:rsid w:val="003131DD"/>
    <w:rsid w:val="003314E7"/>
    <w:rsid w:val="00331810"/>
    <w:rsid w:val="00331C47"/>
    <w:rsid w:val="00335BA6"/>
    <w:rsid w:val="00337910"/>
    <w:rsid w:val="00343451"/>
    <w:rsid w:val="003460CB"/>
    <w:rsid w:val="00346B02"/>
    <w:rsid w:val="00346B0F"/>
    <w:rsid w:val="0034775A"/>
    <w:rsid w:val="00350EF7"/>
    <w:rsid w:val="00354E74"/>
    <w:rsid w:val="0035509D"/>
    <w:rsid w:val="003577FF"/>
    <w:rsid w:val="0036473A"/>
    <w:rsid w:val="00367673"/>
    <w:rsid w:val="00371DEB"/>
    <w:rsid w:val="00375DDD"/>
    <w:rsid w:val="00381C10"/>
    <w:rsid w:val="003842C4"/>
    <w:rsid w:val="0038461B"/>
    <w:rsid w:val="00385ED4"/>
    <w:rsid w:val="00386D02"/>
    <w:rsid w:val="003926DA"/>
    <w:rsid w:val="003A1288"/>
    <w:rsid w:val="003B1AC2"/>
    <w:rsid w:val="003B48FA"/>
    <w:rsid w:val="003B723C"/>
    <w:rsid w:val="003B786B"/>
    <w:rsid w:val="003C20E3"/>
    <w:rsid w:val="003C4F1F"/>
    <w:rsid w:val="003D520D"/>
    <w:rsid w:val="003D59AB"/>
    <w:rsid w:val="003F09B9"/>
    <w:rsid w:val="003F0E49"/>
    <w:rsid w:val="003F56DF"/>
    <w:rsid w:val="003F6C79"/>
    <w:rsid w:val="0040475E"/>
    <w:rsid w:val="0040595C"/>
    <w:rsid w:val="00406111"/>
    <w:rsid w:val="004116F6"/>
    <w:rsid w:val="00412ED9"/>
    <w:rsid w:val="004210BD"/>
    <w:rsid w:val="004275BB"/>
    <w:rsid w:val="004306DB"/>
    <w:rsid w:val="004332B3"/>
    <w:rsid w:val="00433484"/>
    <w:rsid w:val="00433A1D"/>
    <w:rsid w:val="00437F99"/>
    <w:rsid w:val="00441F12"/>
    <w:rsid w:val="00447D6F"/>
    <w:rsid w:val="00453CB4"/>
    <w:rsid w:val="004562CB"/>
    <w:rsid w:val="00461E1E"/>
    <w:rsid w:val="00464C24"/>
    <w:rsid w:val="00465553"/>
    <w:rsid w:val="00467CDA"/>
    <w:rsid w:val="00475481"/>
    <w:rsid w:val="004761CD"/>
    <w:rsid w:val="0048066D"/>
    <w:rsid w:val="00487A58"/>
    <w:rsid w:val="00487E4B"/>
    <w:rsid w:val="00492B82"/>
    <w:rsid w:val="00496B1E"/>
    <w:rsid w:val="00497DE7"/>
    <w:rsid w:val="004A120C"/>
    <w:rsid w:val="004A4615"/>
    <w:rsid w:val="004A4977"/>
    <w:rsid w:val="004B354A"/>
    <w:rsid w:val="004B4D8B"/>
    <w:rsid w:val="004C6581"/>
    <w:rsid w:val="004D1A08"/>
    <w:rsid w:val="004D5217"/>
    <w:rsid w:val="004D72FF"/>
    <w:rsid w:val="004E0FF7"/>
    <w:rsid w:val="00500383"/>
    <w:rsid w:val="005171FB"/>
    <w:rsid w:val="00521734"/>
    <w:rsid w:val="00525C59"/>
    <w:rsid w:val="00537FFD"/>
    <w:rsid w:val="00544F65"/>
    <w:rsid w:val="00547C86"/>
    <w:rsid w:val="00555E93"/>
    <w:rsid w:val="005657EE"/>
    <w:rsid w:val="00570B58"/>
    <w:rsid w:val="005717B1"/>
    <w:rsid w:val="00575C24"/>
    <w:rsid w:val="005849CE"/>
    <w:rsid w:val="0058637C"/>
    <w:rsid w:val="005A0421"/>
    <w:rsid w:val="005B4EAC"/>
    <w:rsid w:val="005B6821"/>
    <w:rsid w:val="005B720F"/>
    <w:rsid w:val="005C3B0D"/>
    <w:rsid w:val="005D4F8B"/>
    <w:rsid w:val="005E41FD"/>
    <w:rsid w:val="005E739D"/>
    <w:rsid w:val="005F0BB9"/>
    <w:rsid w:val="005F1E38"/>
    <w:rsid w:val="005F32C3"/>
    <w:rsid w:val="00605C19"/>
    <w:rsid w:val="00610C4D"/>
    <w:rsid w:val="00615322"/>
    <w:rsid w:val="00615A0B"/>
    <w:rsid w:val="00616BFE"/>
    <w:rsid w:val="00623296"/>
    <w:rsid w:val="006315DD"/>
    <w:rsid w:val="00636974"/>
    <w:rsid w:val="00637C49"/>
    <w:rsid w:val="00641335"/>
    <w:rsid w:val="0064322B"/>
    <w:rsid w:val="00654650"/>
    <w:rsid w:val="00656525"/>
    <w:rsid w:val="00657E41"/>
    <w:rsid w:val="00661278"/>
    <w:rsid w:val="006630D0"/>
    <w:rsid w:val="00666099"/>
    <w:rsid w:val="00670588"/>
    <w:rsid w:val="006928A5"/>
    <w:rsid w:val="006951E7"/>
    <w:rsid w:val="00695AB3"/>
    <w:rsid w:val="00696DA8"/>
    <w:rsid w:val="00697873"/>
    <w:rsid w:val="006B0B58"/>
    <w:rsid w:val="006B1A11"/>
    <w:rsid w:val="006D27A1"/>
    <w:rsid w:val="006F2066"/>
    <w:rsid w:val="006F3A5D"/>
    <w:rsid w:val="006F675E"/>
    <w:rsid w:val="00701370"/>
    <w:rsid w:val="007032FC"/>
    <w:rsid w:val="00703FEC"/>
    <w:rsid w:val="007253AF"/>
    <w:rsid w:val="00747DA9"/>
    <w:rsid w:val="00761F62"/>
    <w:rsid w:val="007627C1"/>
    <w:rsid w:val="00762DFC"/>
    <w:rsid w:val="007633FD"/>
    <w:rsid w:val="0077392D"/>
    <w:rsid w:val="00781C93"/>
    <w:rsid w:val="00781CC1"/>
    <w:rsid w:val="00787832"/>
    <w:rsid w:val="00787C10"/>
    <w:rsid w:val="007901D9"/>
    <w:rsid w:val="00792B7E"/>
    <w:rsid w:val="007A1C87"/>
    <w:rsid w:val="007A4859"/>
    <w:rsid w:val="007A58B8"/>
    <w:rsid w:val="007A7B2B"/>
    <w:rsid w:val="007B3198"/>
    <w:rsid w:val="007B5278"/>
    <w:rsid w:val="007D456A"/>
    <w:rsid w:val="007D6213"/>
    <w:rsid w:val="007D67D8"/>
    <w:rsid w:val="007E1245"/>
    <w:rsid w:val="007E4469"/>
    <w:rsid w:val="007F4F2E"/>
    <w:rsid w:val="00800896"/>
    <w:rsid w:val="0080138C"/>
    <w:rsid w:val="00810329"/>
    <w:rsid w:val="008103AE"/>
    <w:rsid w:val="008125EB"/>
    <w:rsid w:val="008153B7"/>
    <w:rsid w:val="00817411"/>
    <w:rsid w:val="008206F6"/>
    <w:rsid w:val="008243F6"/>
    <w:rsid w:val="008251AF"/>
    <w:rsid w:val="008316F4"/>
    <w:rsid w:val="008353C1"/>
    <w:rsid w:val="0085126B"/>
    <w:rsid w:val="00852F2C"/>
    <w:rsid w:val="00854023"/>
    <w:rsid w:val="008568EB"/>
    <w:rsid w:val="00860895"/>
    <w:rsid w:val="00863646"/>
    <w:rsid w:val="00863AE2"/>
    <w:rsid w:val="00864EDF"/>
    <w:rsid w:val="008672B6"/>
    <w:rsid w:val="00867864"/>
    <w:rsid w:val="008812F3"/>
    <w:rsid w:val="00886747"/>
    <w:rsid w:val="0088734A"/>
    <w:rsid w:val="00887452"/>
    <w:rsid w:val="008928A3"/>
    <w:rsid w:val="00893D57"/>
    <w:rsid w:val="00895487"/>
    <w:rsid w:val="00896385"/>
    <w:rsid w:val="00897F23"/>
    <w:rsid w:val="008A343A"/>
    <w:rsid w:val="008B0650"/>
    <w:rsid w:val="008B11C1"/>
    <w:rsid w:val="008B6764"/>
    <w:rsid w:val="008C1592"/>
    <w:rsid w:val="008D0C1C"/>
    <w:rsid w:val="008D5C21"/>
    <w:rsid w:val="008E0AA3"/>
    <w:rsid w:val="008E7B5C"/>
    <w:rsid w:val="009062BA"/>
    <w:rsid w:val="00910DD3"/>
    <w:rsid w:val="0091166E"/>
    <w:rsid w:val="00913EAA"/>
    <w:rsid w:val="009151B2"/>
    <w:rsid w:val="00917A7A"/>
    <w:rsid w:val="00923959"/>
    <w:rsid w:val="009264A1"/>
    <w:rsid w:val="0093298E"/>
    <w:rsid w:val="009462BF"/>
    <w:rsid w:val="009478DD"/>
    <w:rsid w:val="00950BF3"/>
    <w:rsid w:val="00956DBE"/>
    <w:rsid w:val="00961CB2"/>
    <w:rsid w:val="00961EEC"/>
    <w:rsid w:val="00965983"/>
    <w:rsid w:val="00984DC4"/>
    <w:rsid w:val="00994718"/>
    <w:rsid w:val="00996EE2"/>
    <w:rsid w:val="009A31A6"/>
    <w:rsid w:val="009F03C2"/>
    <w:rsid w:val="009F317C"/>
    <w:rsid w:val="009F5E4D"/>
    <w:rsid w:val="00A1210A"/>
    <w:rsid w:val="00A1447E"/>
    <w:rsid w:val="00A15B7E"/>
    <w:rsid w:val="00A2489B"/>
    <w:rsid w:val="00A25469"/>
    <w:rsid w:val="00A254AF"/>
    <w:rsid w:val="00A25F60"/>
    <w:rsid w:val="00A32FA2"/>
    <w:rsid w:val="00A343EA"/>
    <w:rsid w:val="00A4091E"/>
    <w:rsid w:val="00A40CF4"/>
    <w:rsid w:val="00A417A0"/>
    <w:rsid w:val="00A42824"/>
    <w:rsid w:val="00A42F85"/>
    <w:rsid w:val="00A431DE"/>
    <w:rsid w:val="00A43E56"/>
    <w:rsid w:val="00A46543"/>
    <w:rsid w:val="00A541E7"/>
    <w:rsid w:val="00A57A51"/>
    <w:rsid w:val="00A61757"/>
    <w:rsid w:val="00A67F94"/>
    <w:rsid w:val="00A76BFB"/>
    <w:rsid w:val="00A84297"/>
    <w:rsid w:val="00A84E9D"/>
    <w:rsid w:val="00A94696"/>
    <w:rsid w:val="00A95842"/>
    <w:rsid w:val="00AC5D9D"/>
    <w:rsid w:val="00AC79F5"/>
    <w:rsid w:val="00AD271E"/>
    <w:rsid w:val="00AD3C8C"/>
    <w:rsid w:val="00AD3D58"/>
    <w:rsid w:val="00AF2F17"/>
    <w:rsid w:val="00AF5CDC"/>
    <w:rsid w:val="00AF7477"/>
    <w:rsid w:val="00AF7871"/>
    <w:rsid w:val="00AF7A2E"/>
    <w:rsid w:val="00B001AF"/>
    <w:rsid w:val="00B0287D"/>
    <w:rsid w:val="00B04300"/>
    <w:rsid w:val="00B109F1"/>
    <w:rsid w:val="00B11B3E"/>
    <w:rsid w:val="00B15B3F"/>
    <w:rsid w:val="00B3511E"/>
    <w:rsid w:val="00B35FFB"/>
    <w:rsid w:val="00B47F0A"/>
    <w:rsid w:val="00B60202"/>
    <w:rsid w:val="00B64035"/>
    <w:rsid w:val="00B81580"/>
    <w:rsid w:val="00B81618"/>
    <w:rsid w:val="00B8266E"/>
    <w:rsid w:val="00B83ECE"/>
    <w:rsid w:val="00B874E5"/>
    <w:rsid w:val="00B9728B"/>
    <w:rsid w:val="00BA5C7A"/>
    <w:rsid w:val="00BB035F"/>
    <w:rsid w:val="00BC6B6F"/>
    <w:rsid w:val="00BD113A"/>
    <w:rsid w:val="00BD20F2"/>
    <w:rsid w:val="00BD27EB"/>
    <w:rsid w:val="00BD367A"/>
    <w:rsid w:val="00BD3FE0"/>
    <w:rsid w:val="00BD4510"/>
    <w:rsid w:val="00BD7500"/>
    <w:rsid w:val="00BE12A1"/>
    <w:rsid w:val="00BF1054"/>
    <w:rsid w:val="00BF1ED4"/>
    <w:rsid w:val="00C024E2"/>
    <w:rsid w:val="00C047E9"/>
    <w:rsid w:val="00C10119"/>
    <w:rsid w:val="00C16498"/>
    <w:rsid w:val="00C1746E"/>
    <w:rsid w:val="00C22463"/>
    <w:rsid w:val="00C26DC7"/>
    <w:rsid w:val="00C3446B"/>
    <w:rsid w:val="00C43FDD"/>
    <w:rsid w:val="00C47F92"/>
    <w:rsid w:val="00C54E89"/>
    <w:rsid w:val="00C54EE5"/>
    <w:rsid w:val="00C6375A"/>
    <w:rsid w:val="00C63BE6"/>
    <w:rsid w:val="00C66233"/>
    <w:rsid w:val="00C703DC"/>
    <w:rsid w:val="00C72D2E"/>
    <w:rsid w:val="00C972BE"/>
    <w:rsid w:val="00CA0A07"/>
    <w:rsid w:val="00CA0DDD"/>
    <w:rsid w:val="00CA397D"/>
    <w:rsid w:val="00CB3DED"/>
    <w:rsid w:val="00CB3EDA"/>
    <w:rsid w:val="00CB459C"/>
    <w:rsid w:val="00CC0AE2"/>
    <w:rsid w:val="00CC1012"/>
    <w:rsid w:val="00CC2F5C"/>
    <w:rsid w:val="00CC590F"/>
    <w:rsid w:val="00CE0EA8"/>
    <w:rsid w:val="00CE2A8F"/>
    <w:rsid w:val="00CE3E99"/>
    <w:rsid w:val="00CE6A89"/>
    <w:rsid w:val="00CE7178"/>
    <w:rsid w:val="00CF18F4"/>
    <w:rsid w:val="00D04751"/>
    <w:rsid w:val="00D2294D"/>
    <w:rsid w:val="00D25D9A"/>
    <w:rsid w:val="00D27ED3"/>
    <w:rsid w:val="00D30F5B"/>
    <w:rsid w:val="00D34F9C"/>
    <w:rsid w:val="00D40735"/>
    <w:rsid w:val="00D45CC8"/>
    <w:rsid w:val="00D47745"/>
    <w:rsid w:val="00D5304C"/>
    <w:rsid w:val="00D537D8"/>
    <w:rsid w:val="00D57A34"/>
    <w:rsid w:val="00D57FF5"/>
    <w:rsid w:val="00D61E62"/>
    <w:rsid w:val="00D65000"/>
    <w:rsid w:val="00D70779"/>
    <w:rsid w:val="00D70E47"/>
    <w:rsid w:val="00D70F1F"/>
    <w:rsid w:val="00D838D1"/>
    <w:rsid w:val="00D87209"/>
    <w:rsid w:val="00DB0FEB"/>
    <w:rsid w:val="00DB2391"/>
    <w:rsid w:val="00DB2D3E"/>
    <w:rsid w:val="00DB3D7B"/>
    <w:rsid w:val="00DC03A8"/>
    <w:rsid w:val="00DC32A9"/>
    <w:rsid w:val="00DC3875"/>
    <w:rsid w:val="00DC3B80"/>
    <w:rsid w:val="00DD10C0"/>
    <w:rsid w:val="00DD1733"/>
    <w:rsid w:val="00DD2126"/>
    <w:rsid w:val="00DD308A"/>
    <w:rsid w:val="00DD3983"/>
    <w:rsid w:val="00DD4072"/>
    <w:rsid w:val="00DD46F5"/>
    <w:rsid w:val="00DD46FE"/>
    <w:rsid w:val="00DD4DED"/>
    <w:rsid w:val="00DD534C"/>
    <w:rsid w:val="00DE7381"/>
    <w:rsid w:val="00E033D7"/>
    <w:rsid w:val="00E209AA"/>
    <w:rsid w:val="00E254DE"/>
    <w:rsid w:val="00E33D68"/>
    <w:rsid w:val="00E53795"/>
    <w:rsid w:val="00E61D97"/>
    <w:rsid w:val="00E62307"/>
    <w:rsid w:val="00E7276A"/>
    <w:rsid w:val="00E7317D"/>
    <w:rsid w:val="00E73D90"/>
    <w:rsid w:val="00E75CDF"/>
    <w:rsid w:val="00E764DC"/>
    <w:rsid w:val="00E80473"/>
    <w:rsid w:val="00E90546"/>
    <w:rsid w:val="00E966BB"/>
    <w:rsid w:val="00EA33FC"/>
    <w:rsid w:val="00EB3273"/>
    <w:rsid w:val="00EB74CB"/>
    <w:rsid w:val="00EC077F"/>
    <w:rsid w:val="00ED1614"/>
    <w:rsid w:val="00ED406A"/>
    <w:rsid w:val="00EE3141"/>
    <w:rsid w:val="00EE390B"/>
    <w:rsid w:val="00EE4576"/>
    <w:rsid w:val="00EE601D"/>
    <w:rsid w:val="00EF15EF"/>
    <w:rsid w:val="00EF170A"/>
    <w:rsid w:val="00F04BF9"/>
    <w:rsid w:val="00F1734F"/>
    <w:rsid w:val="00F256DA"/>
    <w:rsid w:val="00F44104"/>
    <w:rsid w:val="00F44B0B"/>
    <w:rsid w:val="00F52316"/>
    <w:rsid w:val="00F55451"/>
    <w:rsid w:val="00F55DBC"/>
    <w:rsid w:val="00F56C5D"/>
    <w:rsid w:val="00F672AA"/>
    <w:rsid w:val="00F7304F"/>
    <w:rsid w:val="00F73E0B"/>
    <w:rsid w:val="00F7617D"/>
    <w:rsid w:val="00F842D0"/>
    <w:rsid w:val="00F8700B"/>
    <w:rsid w:val="00F91903"/>
    <w:rsid w:val="00F9651C"/>
    <w:rsid w:val="00F97D55"/>
    <w:rsid w:val="00FA2015"/>
    <w:rsid w:val="00FA3092"/>
    <w:rsid w:val="00FB49FE"/>
    <w:rsid w:val="00FB6F39"/>
    <w:rsid w:val="00FB7D89"/>
    <w:rsid w:val="00FC4F83"/>
    <w:rsid w:val="00FC54CA"/>
    <w:rsid w:val="00FD6174"/>
    <w:rsid w:val="00FE0234"/>
    <w:rsid w:val="00FE327D"/>
    <w:rsid w:val="00FE3732"/>
    <w:rsid w:val="00FE72B6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AB0D8"/>
  <w15:docId w15:val="{A9502211-4319-4270-8DC7-5F9D782E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461B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B3DED"/>
    <w:pPr>
      <w:keepNext/>
      <w:jc w:val="center"/>
      <w:outlineLvl w:val="0"/>
    </w:pPr>
    <w:rPr>
      <w:b/>
      <w:bCs/>
      <w:caps/>
      <w:sz w:val="28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CB3DED"/>
    <w:pPr>
      <w:keepNext/>
      <w:jc w:val="center"/>
      <w:outlineLvl w:val="1"/>
    </w:pPr>
    <w:rPr>
      <w:b/>
      <w:bCs/>
      <w:cap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link w:val="Heading11"/>
    <w:uiPriority w:val="9"/>
    <w:locked/>
    <w:rsid w:val="000D2095"/>
    <w:rPr>
      <w:rFonts w:ascii="TimesLT" w:hAnsi="TimesLT"/>
      <w:b/>
    </w:rPr>
  </w:style>
  <w:style w:type="character" w:customStyle="1" w:styleId="Antrat2Diagrama">
    <w:name w:val="Antraštė 2 Diagrama"/>
    <w:link w:val="Antrat2"/>
    <w:uiPriority w:val="9"/>
    <w:semiHidden/>
    <w:rsid w:val="001541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1Diagrama">
    <w:name w:val="Antraštė 1 Diagrama"/>
    <w:link w:val="Antrat1"/>
    <w:locked/>
    <w:rsid w:val="00CB3DED"/>
    <w:rPr>
      <w:b/>
      <w:caps/>
      <w:sz w:val="28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CB3DED"/>
    <w:pPr>
      <w:jc w:val="both"/>
    </w:pPr>
    <w:rPr>
      <w:szCs w:val="20"/>
      <w:lang w:eastAsia="en-US"/>
    </w:rPr>
  </w:style>
  <w:style w:type="character" w:customStyle="1" w:styleId="BodyTextChar">
    <w:name w:val="Body Text Char"/>
    <w:uiPriority w:val="99"/>
    <w:rsid w:val="008928A3"/>
    <w:rPr>
      <w:sz w:val="24"/>
      <w:lang w:val="lt-LT"/>
    </w:rPr>
  </w:style>
  <w:style w:type="character" w:customStyle="1" w:styleId="PagrindinistekstasDiagrama">
    <w:name w:val="Pagrindinis tekstas Diagrama"/>
    <w:link w:val="Pagrindinistekstas"/>
    <w:locked/>
    <w:rsid w:val="00CB3DED"/>
    <w:rPr>
      <w:sz w:val="24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4D1A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541A4"/>
    <w:rPr>
      <w:sz w:val="0"/>
      <w:szCs w:val="0"/>
    </w:rPr>
  </w:style>
  <w:style w:type="paragraph" w:styleId="Pagrindinistekstas3">
    <w:name w:val="Body Text 3"/>
    <w:basedOn w:val="prastasis"/>
    <w:link w:val="Pagrindinistekstas3Diagrama"/>
    <w:uiPriority w:val="99"/>
    <w:rsid w:val="00BD20F2"/>
    <w:pPr>
      <w:spacing w:after="120"/>
    </w:pPr>
    <w:rPr>
      <w:sz w:val="16"/>
      <w:szCs w:val="16"/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1541A4"/>
    <w:rPr>
      <w:sz w:val="16"/>
      <w:szCs w:val="16"/>
    </w:rPr>
  </w:style>
  <w:style w:type="paragraph" w:customStyle="1" w:styleId="statymopavad">
    <w:name w:val="statymopavad"/>
    <w:basedOn w:val="prastasis"/>
    <w:rsid w:val="00B8266E"/>
    <w:pPr>
      <w:spacing w:before="100" w:beforeAutospacing="1" w:after="100" w:afterAutospacing="1"/>
    </w:pPr>
    <w:rPr>
      <w:lang w:val="en-US" w:eastAsia="en-US"/>
    </w:rPr>
  </w:style>
  <w:style w:type="character" w:customStyle="1" w:styleId="datametai">
    <w:name w:val="datametai"/>
    <w:rsid w:val="00B8266E"/>
    <w:rPr>
      <w:rFonts w:cs="Times New Roman"/>
    </w:rPr>
  </w:style>
  <w:style w:type="character" w:customStyle="1" w:styleId="datamnuo">
    <w:name w:val="datamnuo"/>
    <w:rsid w:val="00B8266E"/>
    <w:rPr>
      <w:rFonts w:cs="Times New Roman"/>
    </w:rPr>
  </w:style>
  <w:style w:type="character" w:customStyle="1" w:styleId="datadiena">
    <w:name w:val="datadiena"/>
    <w:rsid w:val="00B8266E"/>
    <w:rPr>
      <w:rFonts w:cs="Times New Roman"/>
    </w:rPr>
  </w:style>
  <w:style w:type="character" w:customStyle="1" w:styleId="statymonr">
    <w:name w:val="statymonr"/>
    <w:rsid w:val="00B8266E"/>
    <w:rPr>
      <w:rFonts w:cs="Times New Roman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0D209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1541A4"/>
    <w:rPr>
      <w:sz w:val="24"/>
      <w:szCs w:val="24"/>
    </w:rPr>
  </w:style>
  <w:style w:type="paragraph" w:customStyle="1" w:styleId="Heading11">
    <w:name w:val="Heading 11"/>
    <w:basedOn w:val="prastasis"/>
    <w:link w:val="Heading1Char"/>
    <w:rsid w:val="000D2095"/>
    <w:rPr>
      <w:rFonts w:ascii="TimesLT" w:hAnsi="TimesLT"/>
      <w:b/>
      <w:bCs/>
      <w:sz w:val="20"/>
      <w:szCs w:val="20"/>
    </w:rPr>
  </w:style>
  <w:style w:type="paragraph" w:customStyle="1" w:styleId="statymopavad0">
    <w:name w:val="Įstatymo pavad."/>
    <w:basedOn w:val="prastasis"/>
    <w:rsid w:val="000D2095"/>
    <w:pPr>
      <w:spacing w:line="360" w:lineRule="auto"/>
      <w:ind w:firstLine="720"/>
      <w:jc w:val="center"/>
    </w:pPr>
    <w:rPr>
      <w:rFonts w:ascii="TimesLT" w:hAnsi="TimesLT"/>
      <w:caps/>
      <w:lang w:val="en-US" w:eastAsia="en-US"/>
    </w:rPr>
  </w:style>
  <w:style w:type="character" w:customStyle="1" w:styleId="Datadiena0">
    <w:name w:val="Data_diena"/>
    <w:rsid w:val="000D2095"/>
    <w:rPr>
      <w:rFonts w:cs="Times New Roman"/>
    </w:rPr>
  </w:style>
  <w:style w:type="character" w:customStyle="1" w:styleId="statymoNr0">
    <w:name w:val="Įstatymo Nr."/>
    <w:rsid w:val="000D2095"/>
    <w:rPr>
      <w:rFonts w:ascii="HelveticaLT" w:hAnsi="HelveticaLT"/>
    </w:rPr>
  </w:style>
  <w:style w:type="character" w:customStyle="1" w:styleId="Datamnuo0">
    <w:name w:val="Data_mënuo"/>
    <w:rsid w:val="000D2095"/>
    <w:rPr>
      <w:rFonts w:ascii="HelveticaLT" w:hAnsi="HelveticaLT"/>
    </w:rPr>
  </w:style>
  <w:style w:type="character" w:customStyle="1" w:styleId="Datametai0">
    <w:name w:val="Data_metai"/>
    <w:rsid w:val="000D2095"/>
    <w:rPr>
      <w:rFonts w:cs="Times New Roman"/>
    </w:rPr>
  </w:style>
  <w:style w:type="character" w:styleId="Hipersaitas">
    <w:name w:val="Hyperlink"/>
    <w:uiPriority w:val="99"/>
    <w:rsid w:val="000D2095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rsid w:val="000D2095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semiHidden/>
    <w:rsid w:val="001541A4"/>
    <w:rPr>
      <w:rFonts w:ascii="Courier New" w:hAnsi="Courier New" w:cs="Courier New"/>
    </w:rPr>
  </w:style>
  <w:style w:type="paragraph" w:styleId="Antrats">
    <w:name w:val="header"/>
    <w:basedOn w:val="prastasis"/>
    <w:link w:val="AntratsDiagrama"/>
    <w:uiPriority w:val="99"/>
    <w:rsid w:val="00BE12A1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ntratsDiagrama">
    <w:name w:val="Antraštės Diagrama"/>
    <w:link w:val="Antrats"/>
    <w:uiPriority w:val="99"/>
    <w:semiHidden/>
    <w:rsid w:val="001541A4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rsid w:val="003314E7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3314E7"/>
    <w:rPr>
      <w:sz w:val="24"/>
    </w:rPr>
  </w:style>
  <w:style w:type="paragraph" w:styleId="Sraopastraipa">
    <w:name w:val="List Paragraph"/>
    <w:basedOn w:val="prastasis"/>
    <w:uiPriority w:val="99"/>
    <w:qFormat/>
    <w:rsid w:val="00521734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D57F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D57F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7FF5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7F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7FF5"/>
    <w:rPr>
      <w:b/>
      <w:bCs/>
    </w:rPr>
  </w:style>
  <w:style w:type="paragraph" w:styleId="prastasiniatinklio">
    <w:name w:val="Normal (Web)"/>
    <w:basedOn w:val="prastasis"/>
    <w:uiPriority w:val="99"/>
    <w:unhideWhenUsed/>
    <w:rsid w:val="002542A5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867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5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8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AB8D-2435-4151-8A59-B3E2FAF4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D.Valuckiene</dc:creator>
  <cp:lastModifiedBy>Virginija Palaimiene</cp:lastModifiedBy>
  <cp:revision>2</cp:revision>
  <cp:lastPrinted>2017-09-20T12:37:00Z</cp:lastPrinted>
  <dcterms:created xsi:type="dcterms:W3CDTF">2018-12-11T14:52:00Z</dcterms:created>
  <dcterms:modified xsi:type="dcterms:W3CDTF">2018-12-11T14:52:00Z</dcterms:modified>
</cp:coreProperties>
</file>