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64BB" w14:textId="77777777" w:rsidR="002153C1" w:rsidRPr="00340337" w:rsidRDefault="002153C1" w:rsidP="003E194A">
      <w:pPr>
        <w:jc w:val="center"/>
        <w:rPr>
          <w:b/>
          <w:sz w:val="24"/>
          <w:szCs w:val="24"/>
        </w:rPr>
      </w:pPr>
      <w:bookmarkStart w:id="0" w:name="_GoBack"/>
      <w:bookmarkEnd w:id="0"/>
      <w:r w:rsidRPr="00340337">
        <w:rPr>
          <w:b/>
          <w:sz w:val="24"/>
          <w:szCs w:val="24"/>
        </w:rPr>
        <w:t>AIŠKINAMASIS RAŠTAS</w:t>
      </w:r>
    </w:p>
    <w:p w14:paraId="46ED64BC" w14:textId="1F370192" w:rsidR="00EF4F1A" w:rsidRPr="00340337" w:rsidRDefault="004943AF" w:rsidP="00051A4E">
      <w:pPr>
        <w:jc w:val="center"/>
        <w:rPr>
          <w:sz w:val="24"/>
          <w:szCs w:val="24"/>
        </w:rPr>
      </w:pPr>
      <w:r w:rsidRPr="00340337">
        <w:rPr>
          <w:b/>
          <w:caps/>
          <w:sz w:val="24"/>
          <w:szCs w:val="24"/>
        </w:rPr>
        <w:t>DĖL PARAMOS TEIKIMO INVESTUOTOJAMS KLAIPĖDOS MIESTO SAVIVALDYBĖS BIUDŽETO LĖŠOMIS TVARKOS APRAŠO PATVIRTINIMO</w:t>
      </w:r>
    </w:p>
    <w:p w14:paraId="46ED64BD" w14:textId="503EEC57" w:rsidR="002153C1" w:rsidRPr="00340337" w:rsidRDefault="002153C1" w:rsidP="00EF4F1A">
      <w:pPr>
        <w:tabs>
          <w:tab w:val="left" w:pos="3060"/>
        </w:tabs>
        <w:jc w:val="center"/>
        <w:rPr>
          <w:b/>
          <w:sz w:val="24"/>
          <w:szCs w:val="24"/>
        </w:rPr>
      </w:pPr>
    </w:p>
    <w:p w14:paraId="46ED64BE" w14:textId="77777777" w:rsidR="002153C1" w:rsidRPr="00340337" w:rsidRDefault="002153C1" w:rsidP="003E194A">
      <w:pPr>
        <w:ind w:firstLine="748"/>
        <w:jc w:val="both"/>
        <w:rPr>
          <w:b/>
          <w:sz w:val="24"/>
          <w:szCs w:val="24"/>
        </w:rPr>
      </w:pPr>
      <w:r w:rsidRPr="00340337">
        <w:rPr>
          <w:b/>
          <w:sz w:val="24"/>
          <w:szCs w:val="24"/>
        </w:rPr>
        <w:t>1. Sprendimo projekto esmė, tikslai ir uždaviniai.</w:t>
      </w:r>
    </w:p>
    <w:p w14:paraId="4B066A9B" w14:textId="54389A41" w:rsidR="004943AF" w:rsidRPr="00340337" w:rsidRDefault="00577B54" w:rsidP="008D103E">
      <w:pPr>
        <w:pStyle w:val="Sraopastraipa"/>
        <w:tabs>
          <w:tab w:val="left" w:pos="993"/>
        </w:tabs>
        <w:ind w:left="0" w:firstLine="709"/>
        <w:jc w:val="both"/>
        <w:rPr>
          <w:sz w:val="24"/>
          <w:szCs w:val="24"/>
        </w:rPr>
      </w:pPr>
      <w:r w:rsidRPr="00340337">
        <w:rPr>
          <w:sz w:val="24"/>
          <w:szCs w:val="24"/>
        </w:rPr>
        <w:t xml:space="preserve">Šio sprendimo tikslas patvirtinti </w:t>
      </w:r>
      <w:r w:rsidR="004943AF" w:rsidRPr="00340337">
        <w:rPr>
          <w:sz w:val="24"/>
          <w:szCs w:val="24"/>
        </w:rPr>
        <w:t xml:space="preserve">paramos teikimo investuotojams </w:t>
      </w:r>
      <w:r w:rsidR="00051A4E" w:rsidRPr="00340337">
        <w:rPr>
          <w:sz w:val="24"/>
          <w:szCs w:val="24"/>
        </w:rPr>
        <w:t xml:space="preserve">Klaipėdos </w:t>
      </w:r>
      <w:r w:rsidR="008D103E" w:rsidRPr="00340337">
        <w:rPr>
          <w:sz w:val="24"/>
          <w:szCs w:val="24"/>
        </w:rPr>
        <w:t xml:space="preserve">miesto </w:t>
      </w:r>
      <w:r w:rsidR="004943AF" w:rsidRPr="00340337">
        <w:rPr>
          <w:sz w:val="24"/>
          <w:szCs w:val="24"/>
        </w:rPr>
        <w:t>savivaldybės biudžeto lėšomis tvarkos aprašą</w:t>
      </w:r>
      <w:r w:rsidR="00FF4F25" w:rsidRPr="00340337">
        <w:rPr>
          <w:sz w:val="24"/>
          <w:szCs w:val="24"/>
        </w:rPr>
        <w:t xml:space="preserve"> (toliau – Aprašas)</w:t>
      </w:r>
      <w:r w:rsidR="004943AF" w:rsidRPr="00340337">
        <w:rPr>
          <w:sz w:val="24"/>
          <w:szCs w:val="24"/>
        </w:rPr>
        <w:t xml:space="preserve">. </w:t>
      </w:r>
    </w:p>
    <w:p w14:paraId="33DF6467" w14:textId="00425EDA" w:rsidR="006643BB" w:rsidRPr="00340337" w:rsidRDefault="00F9229F" w:rsidP="00405C83">
      <w:pPr>
        <w:pStyle w:val="Sraopastraipa"/>
        <w:tabs>
          <w:tab w:val="left" w:pos="993"/>
        </w:tabs>
        <w:ind w:left="0" w:firstLine="709"/>
        <w:jc w:val="both"/>
        <w:rPr>
          <w:sz w:val="24"/>
          <w:szCs w:val="24"/>
        </w:rPr>
      </w:pPr>
      <w:r w:rsidRPr="00340337">
        <w:rPr>
          <w:sz w:val="24"/>
          <w:szCs w:val="24"/>
        </w:rPr>
        <w:t>Šis sprendimo projektas parengtas siekiant pritraukti Investuotojus</w:t>
      </w:r>
      <w:r w:rsidR="006643BB" w:rsidRPr="00340337">
        <w:rPr>
          <w:sz w:val="24"/>
          <w:szCs w:val="24"/>
        </w:rPr>
        <w:t>, ypatingai galinčius s</w:t>
      </w:r>
      <w:r w:rsidRPr="00340337">
        <w:rPr>
          <w:sz w:val="24"/>
          <w:szCs w:val="24"/>
        </w:rPr>
        <w:t>teigti ir plėsti Paslaugų centrus Klaipėdos mieste, sukuriant aukštos pridėtinės vertės darbo vietas</w:t>
      </w:r>
      <w:r w:rsidR="006643BB" w:rsidRPr="00340337">
        <w:rPr>
          <w:sz w:val="24"/>
          <w:szCs w:val="24"/>
        </w:rPr>
        <w:t xml:space="preserve">. </w:t>
      </w:r>
      <w:r w:rsidR="00405C83" w:rsidRPr="00340337">
        <w:rPr>
          <w:sz w:val="24"/>
          <w:szCs w:val="24"/>
        </w:rPr>
        <w:t xml:space="preserve"> </w:t>
      </w:r>
      <w:r w:rsidR="006643BB" w:rsidRPr="00340337">
        <w:rPr>
          <w:sz w:val="24"/>
          <w:szCs w:val="24"/>
        </w:rPr>
        <w:t>P</w:t>
      </w:r>
      <w:r w:rsidRPr="00340337">
        <w:rPr>
          <w:sz w:val="24"/>
          <w:szCs w:val="24"/>
        </w:rPr>
        <w:t>aslaugų centras (angl. Shared services center arba SSC)</w:t>
      </w:r>
      <w:r w:rsidR="006643BB" w:rsidRPr="00340337">
        <w:rPr>
          <w:sz w:val="24"/>
          <w:szCs w:val="24"/>
        </w:rPr>
        <w:t xml:space="preserve"> </w:t>
      </w:r>
      <w:r w:rsidRPr="00340337">
        <w:rPr>
          <w:sz w:val="24"/>
          <w:szCs w:val="24"/>
        </w:rPr>
        <w:t>yra</w:t>
      </w:r>
      <w:r w:rsidR="006643BB" w:rsidRPr="00340337">
        <w:rPr>
          <w:sz w:val="24"/>
          <w:szCs w:val="24"/>
        </w:rPr>
        <w:t xml:space="preserve"> suprantamas kaip </w:t>
      </w:r>
      <w:r w:rsidRPr="00340337">
        <w:rPr>
          <w:sz w:val="24"/>
          <w:szCs w:val="24"/>
        </w:rPr>
        <w:t>subjektas, atsakingas už konkrečių veiklos užduočių vykdymą ir tvarkymą, pavyzdžiui, apskaitą, žmogiškuosius išteklius, darbo užmokesčio, IT, teisinius, atitikties, pirkimo, saugumo. Paslaugų centras konsoliduoja vieno ar kelių tipų funkcijas vienoje vietoje ir tokiu būdu aptarnauja padalinius skirtingose šalyse ar net regionuose. Tokiu būdu yra optimizuojami ištekliai, o teikiantis skyrius tampa vidaus paslaugų teikėju. Paslaugų centru (angl. Business process outsourcing, arba BPO) taip pat gali būti ir subjektas, kuris pagal sutartinius įsipareigojimus, teikia kitai įmonei paslaugas, kurios gali būti atliekamos įmonės viduje</w:t>
      </w:r>
      <w:r w:rsidR="006643BB" w:rsidRPr="00340337">
        <w:rPr>
          <w:sz w:val="24"/>
          <w:szCs w:val="24"/>
        </w:rPr>
        <w:t>.</w:t>
      </w:r>
    </w:p>
    <w:p w14:paraId="2250F0AF" w14:textId="64DE7458" w:rsidR="00F9229F" w:rsidRPr="00340337" w:rsidRDefault="00405C83" w:rsidP="006643BB">
      <w:pPr>
        <w:pStyle w:val="Sraopastraipa"/>
        <w:tabs>
          <w:tab w:val="left" w:pos="1276"/>
        </w:tabs>
        <w:ind w:left="0" w:firstLine="709"/>
        <w:jc w:val="both"/>
        <w:rPr>
          <w:sz w:val="24"/>
          <w:szCs w:val="24"/>
        </w:rPr>
      </w:pPr>
      <w:r w:rsidRPr="00340337">
        <w:rPr>
          <w:sz w:val="24"/>
          <w:szCs w:val="24"/>
        </w:rPr>
        <w:t xml:space="preserve">Paslaugų centrai pasirinkti prioritetu, nes </w:t>
      </w:r>
      <w:r w:rsidR="006643BB" w:rsidRPr="00340337">
        <w:rPr>
          <w:sz w:val="24"/>
          <w:szCs w:val="24"/>
        </w:rPr>
        <w:t>p</w:t>
      </w:r>
      <w:r w:rsidR="00F9229F" w:rsidRPr="00340337">
        <w:rPr>
          <w:sz w:val="24"/>
          <w:szCs w:val="24"/>
        </w:rPr>
        <w:t>agal tiesioginę finansinę naudą paslaugų projektai gerokai lenkia gamybinius projektus dėl mokamų su darbo santykiais susijusių mokesčių</w:t>
      </w:r>
      <w:r w:rsidR="006643BB" w:rsidRPr="00340337">
        <w:rPr>
          <w:sz w:val="24"/>
          <w:szCs w:val="24"/>
        </w:rPr>
        <w:t>:</w:t>
      </w:r>
    </w:p>
    <w:p w14:paraId="162E284B" w14:textId="71E4312B" w:rsidR="00F9229F" w:rsidRPr="00340337" w:rsidRDefault="00F9229F" w:rsidP="006643BB">
      <w:pPr>
        <w:pStyle w:val="Sraopastraipa"/>
        <w:tabs>
          <w:tab w:val="left" w:pos="1276"/>
        </w:tabs>
        <w:ind w:left="0" w:firstLine="709"/>
        <w:jc w:val="both"/>
        <w:rPr>
          <w:sz w:val="24"/>
          <w:szCs w:val="24"/>
        </w:rPr>
      </w:pPr>
      <w:r w:rsidRPr="00340337">
        <w:rPr>
          <w:sz w:val="24"/>
          <w:szCs w:val="24"/>
        </w:rPr>
        <w:t>1.2.1.</w:t>
      </w:r>
      <w:r w:rsidRPr="00340337">
        <w:rPr>
          <w:sz w:val="24"/>
          <w:szCs w:val="24"/>
        </w:rPr>
        <w:tab/>
      </w:r>
      <w:r w:rsidR="006643BB" w:rsidRPr="00340337">
        <w:rPr>
          <w:sz w:val="24"/>
          <w:szCs w:val="24"/>
        </w:rPr>
        <w:t xml:space="preserve"> v</w:t>
      </w:r>
      <w:r w:rsidRPr="00340337">
        <w:rPr>
          <w:sz w:val="24"/>
          <w:szCs w:val="24"/>
        </w:rPr>
        <w:t>idutinis vieno paslaugų centro darbuotojų skaičius yra 142. Atitinkamas skaičius gamyboje daugiau negu 3 kartus mažesnis;</w:t>
      </w:r>
      <w:r w:rsidR="006643BB" w:rsidRPr="00340337">
        <w:rPr>
          <w:sz w:val="24"/>
          <w:szCs w:val="24"/>
        </w:rPr>
        <w:t xml:space="preserve"> </w:t>
      </w:r>
    </w:p>
    <w:p w14:paraId="03CC7A00" w14:textId="593E5388" w:rsidR="00F9229F" w:rsidRPr="00340337" w:rsidRDefault="00F9229F" w:rsidP="006643BB">
      <w:pPr>
        <w:pStyle w:val="Sraopastraipa"/>
        <w:tabs>
          <w:tab w:val="left" w:pos="1276"/>
        </w:tabs>
        <w:ind w:left="0" w:firstLine="709"/>
        <w:jc w:val="both"/>
        <w:rPr>
          <w:sz w:val="24"/>
          <w:szCs w:val="24"/>
        </w:rPr>
      </w:pPr>
      <w:r w:rsidRPr="00340337">
        <w:rPr>
          <w:sz w:val="24"/>
          <w:szCs w:val="24"/>
        </w:rPr>
        <w:t>1.2.2.</w:t>
      </w:r>
      <w:r w:rsidR="006643BB" w:rsidRPr="00340337">
        <w:rPr>
          <w:sz w:val="24"/>
          <w:szCs w:val="24"/>
        </w:rPr>
        <w:t xml:space="preserve"> v</w:t>
      </w:r>
      <w:r w:rsidRPr="00340337">
        <w:rPr>
          <w:sz w:val="24"/>
          <w:szCs w:val="24"/>
        </w:rPr>
        <w:t>idutinis darbo užmokestis paslaugų centruose yra net 65 proc. didesnis už darbo užmokestį gamybos projektuose;</w:t>
      </w:r>
    </w:p>
    <w:p w14:paraId="567100AE" w14:textId="586C241E" w:rsidR="00F9229F" w:rsidRPr="00340337" w:rsidRDefault="00F9229F" w:rsidP="006643BB">
      <w:pPr>
        <w:pStyle w:val="Sraopastraipa"/>
        <w:tabs>
          <w:tab w:val="left" w:pos="1276"/>
        </w:tabs>
        <w:ind w:left="0" w:firstLine="709"/>
        <w:jc w:val="both"/>
        <w:rPr>
          <w:sz w:val="24"/>
          <w:szCs w:val="24"/>
        </w:rPr>
      </w:pPr>
      <w:r w:rsidRPr="00340337">
        <w:rPr>
          <w:sz w:val="24"/>
          <w:szCs w:val="24"/>
        </w:rPr>
        <w:t>1.2.3.</w:t>
      </w:r>
      <w:r w:rsidRPr="00340337">
        <w:rPr>
          <w:sz w:val="24"/>
          <w:szCs w:val="24"/>
        </w:rPr>
        <w:tab/>
      </w:r>
      <w:r w:rsidR="006643BB" w:rsidRPr="00340337">
        <w:rPr>
          <w:sz w:val="24"/>
          <w:szCs w:val="24"/>
        </w:rPr>
        <w:t xml:space="preserve"> p</w:t>
      </w:r>
      <w:r w:rsidRPr="00340337">
        <w:rPr>
          <w:sz w:val="24"/>
          <w:szCs w:val="24"/>
        </w:rPr>
        <w:t xml:space="preserve">askaičiuota, kad metiniai darbo kaštai, kuriuos patiria 142 darbuotojus įdarbinantis paslaugų centras, yra lygūs 2,7 mln. eurų. Atitinkamai sumokama apie 1,1 mln. eurų su darbo santykiais susijusių mokesčių. </w:t>
      </w:r>
    </w:p>
    <w:p w14:paraId="71029429" w14:textId="77777777" w:rsidR="00405C83" w:rsidRPr="00340337" w:rsidRDefault="00F9229F" w:rsidP="00405C83">
      <w:pPr>
        <w:pStyle w:val="Sraopastraipa"/>
        <w:tabs>
          <w:tab w:val="left" w:pos="1276"/>
        </w:tabs>
        <w:ind w:left="0" w:firstLine="709"/>
        <w:jc w:val="both"/>
        <w:rPr>
          <w:sz w:val="24"/>
          <w:szCs w:val="24"/>
        </w:rPr>
      </w:pPr>
      <w:r w:rsidRPr="00340337">
        <w:rPr>
          <w:sz w:val="24"/>
          <w:szCs w:val="24"/>
        </w:rPr>
        <w:t xml:space="preserve">Pasaulyje </w:t>
      </w:r>
      <w:r w:rsidR="00405C83" w:rsidRPr="00340337">
        <w:rPr>
          <w:sz w:val="24"/>
          <w:szCs w:val="24"/>
        </w:rPr>
        <w:t xml:space="preserve">stebimas </w:t>
      </w:r>
      <w:r w:rsidRPr="00340337">
        <w:rPr>
          <w:sz w:val="24"/>
          <w:szCs w:val="24"/>
        </w:rPr>
        <w:t>paslaugų centrų skaičiaus augimas, kadangi tai tapo patrauklus modelis įmonėms optimizuoti savo kaštus</w:t>
      </w:r>
      <w:r w:rsidR="00405C83" w:rsidRPr="00340337">
        <w:rPr>
          <w:sz w:val="24"/>
          <w:szCs w:val="24"/>
        </w:rPr>
        <w:t xml:space="preserve">: numatytas </w:t>
      </w:r>
      <w:r w:rsidRPr="00340337">
        <w:rPr>
          <w:sz w:val="24"/>
          <w:szCs w:val="24"/>
        </w:rPr>
        <w:t>30% paslaugų centrų augimas nuo 2015 iki 2022, t.</w:t>
      </w:r>
      <w:r w:rsidR="00405C83" w:rsidRPr="00340337">
        <w:rPr>
          <w:sz w:val="24"/>
          <w:szCs w:val="24"/>
        </w:rPr>
        <w:t xml:space="preserve"> </w:t>
      </w:r>
      <w:r w:rsidRPr="00340337">
        <w:rPr>
          <w:sz w:val="24"/>
          <w:szCs w:val="24"/>
        </w:rPr>
        <w:t>y. kad iki 2022 metų bus  &lt;75,000 paslaugų centrų visame pasaulyje</w:t>
      </w:r>
      <w:r w:rsidR="00405C83" w:rsidRPr="00340337">
        <w:rPr>
          <w:sz w:val="24"/>
          <w:szCs w:val="24"/>
        </w:rPr>
        <w:t>.  Atkreiptinas dėmesys, kad Cen</w:t>
      </w:r>
      <w:r w:rsidRPr="00340337">
        <w:rPr>
          <w:sz w:val="24"/>
          <w:szCs w:val="24"/>
        </w:rPr>
        <w:t>trinis ir Rytų Europos (CRE) regionas, lyginant su Azijos ar Lotynų Amerikos šalimis kaštu atžvilgiu yra daug brangesnis, tačiau dar nesiekia Vakarų Europos ar JAV lygio. Vertinant kitus kriterijus CRE yra geografiškai daug patogesnėje vietoje, brandi paslaugų centrų rinka su išsilavinusiais darbuotojais. Pagrindinė Paslaugų centrų lokacija koncentruojasi Lenkijoje, tačiau investuotojai vis dažniau pastebi tokias šalis kaip Bulgariją, Rumuniją, Vengriją ir Lietuv</w:t>
      </w:r>
      <w:r w:rsidR="00405C83" w:rsidRPr="00340337">
        <w:rPr>
          <w:sz w:val="24"/>
          <w:szCs w:val="24"/>
        </w:rPr>
        <w:t>ą - v</w:t>
      </w:r>
      <w:r w:rsidRPr="00340337">
        <w:rPr>
          <w:sz w:val="24"/>
          <w:szCs w:val="24"/>
        </w:rPr>
        <w:t>erslo sąlygas vertinančiame Pasaulio banko tyrime „Doing Business 2019“ Lietuva pasiekė aukščiausią vietą nuo šio reitingo skelbimo pradžios</w:t>
      </w:r>
      <w:r w:rsidR="00405C83" w:rsidRPr="00340337">
        <w:rPr>
          <w:sz w:val="24"/>
          <w:szCs w:val="24"/>
        </w:rPr>
        <w:t>: t</w:t>
      </w:r>
      <w:r w:rsidRPr="00340337">
        <w:rPr>
          <w:sz w:val="24"/>
          <w:szCs w:val="24"/>
        </w:rPr>
        <w:t>arp 190 pasaulio valstybių Lietuva užima 14 vietą ir lenkia  Latviją ir Estij</w:t>
      </w:r>
      <w:r w:rsidR="00405C83" w:rsidRPr="00340337">
        <w:rPr>
          <w:sz w:val="24"/>
          <w:szCs w:val="24"/>
        </w:rPr>
        <w:t>ą.</w:t>
      </w:r>
    </w:p>
    <w:p w14:paraId="5FD805AF" w14:textId="63814360" w:rsidR="00F9229F" w:rsidRPr="00340337" w:rsidRDefault="00F9229F" w:rsidP="00405C83">
      <w:pPr>
        <w:pStyle w:val="Sraopastraipa"/>
        <w:tabs>
          <w:tab w:val="left" w:pos="1276"/>
        </w:tabs>
        <w:ind w:left="0" w:firstLine="709"/>
        <w:jc w:val="both"/>
        <w:rPr>
          <w:sz w:val="24"/>
          <w:szCs w:val="24"/>
        </w:rPr>
      </w:pPr>
      <w:r w:rsidRPr="00340337">
        <w:rPr>
          <w:sz w:val="24"/>
          <w:szCs w:val="24"/>
        </w:rPr>
        <w:t>Šiuo metu Lietuvoje įsteigta daugiau nei 78 paslaugų centrų (Vilniuje – 55 vnt., Kaune 15, Klaipėdoje 4 vnt.), kuriuose dirba 17.000 darbuotojų. Nors per pastaruosius dvejus metus, kelios dešimtys paslaugų centrų paskelbė apie savo planus kurti padalinius Kaune, Klaipėdoje paslaugų centrų sektorius praktiškai neegzistuoja. To pagrindinės priežastys yra:</w:t>
      </w:r>
    </w:p>
    <w:p w14:paraId="7D5EE4EF" w14:textId="61F699FD" w:rsidR="00F9229F" w:rsidRPr="00340337" w:rsidRDefault="00405C83" w:rsidP="00405C83">
      <w:pPr>
        <w:pStyle w:val="Sraopastraipa"/>
        <w:numPr>
          <w:ilvl w:val="0"/>
          <w:numId w:val="6"/>
        </w:numPr>
        <w:tabs>
          <w:tab w:val="left" w:pos="1276"/>
        </w:tabs>
        <w:jc w:val="both"/>
        <w:rPr>
          <w:sz w:val="24"/>
          <w:szCs w:val="24"/>
        </w:rPr>
      </w:pPr>
      <w:r w:rsidRPr="00340337">
        <w:rPr>
          <w:sz w:val="24"/>
          <w:szCs w:val="24"/>
        </w:rPr>
        <w:t>d</w:t>
      </w:r>
      <w:r w:rsidR="00F9229F" w:rsidRPr="00340337">
        <w:rPr>
          <w:sz w:val="24"/>
          <w:szCs w:val="24"/>
        </w:rPr>
        <w:t>emografinė padėtis</w:t>
      </w:r>
      <w:r w:rsidRPr="00340337">
        <w:rPr>
          <w:sz w:val="24"/>
          <w:szCs w:val="24"/>
        </w:rPr>
        <w:t xml:space="preserve">: </w:t>
      </w:r>
      <w:r w:rsidR="00F9229F" w:rsidRPr="00340337">
        <w:rPr>
          <w:sz w:val="24"/>
          <w:szCs w:val="24"/>
        </w:rPr>
        <w:t>Klaipėda mažiausia pagal demografinius rodiklius</w:t>
      </w:r>
      <w:r w:rsidR="00A31C5F" w:rsidRPr="00340337">
        <w:rPr>
          <w:sz w:val="24"/>
          <w:szCs w:val="24"/>
        </w:rPr>
        <w:t xml:space="preserve"> (žr. 1 lentelę)</w:t>
      </w:r>
      <w:r w:rsidR="00F9229F" w:rsidRPr="00340337">
        <w:rPr>
          <w:sz w:val="24"/>
          <w:szCs w:val="24"/>
        </w:rPr>
        <w:t xml:space="preserve">: </w:t>
      </w:r>
    </w:p>
    <w:p w14:paraId="3DF192F6" w14:textId="77777777" w:rsidR="00F9229F" w:rsidRPr="00340337" w:rsidRDefault="00F9229F" w:rsidP="00F9229F">
      <w:pPr>
        <w:pStyle w:val="Sraopastraipa"/>
        <w:tabs>
          <w:tab w:val="left" w:pos="993"/>
        </w:tabs>
        <w:ind w:left="0" w:firstLine="709"/>
        <w:jc w:val="both"/>
        <w:rPr>
          <w:sz w:val="24"/>
          <w:szCs w:val="24"/>
        </w:rPr>
      </w:pPr>
    </w:p>
    <w:p w14:paraId="525B6E9F" w14:textId="77777777" w:rsidR="00A4180A" w:rsidRPr="00340337" w:rsidRDefault="00A4180A" w:rsidP="00A4180A">
      <w:pPr>
        <w:tabs>
          <w:tab w:val="left" w:pos="993"/>
        </w:tabs>
        <w:jc w:val="center"/>
        <w:rPr>
          <w:sz w:val="24"/>
          <w:szCs w:val="24"/>
        </w:rPr>
      </w:pPr>
      <w:r w:rsidRPr="00340337">
        <w:rPr>
          <w:sz w:val="24"/>
          <w:szCs w:val="24"/>
          <w:lang w:eastAsia="en-US"/>
        </w:rPr>
        <w:t>1 lentelė. Demografinė padėtis.</w:t>
      </w:r>
      <w:r w:rsidRPr="00340337">
        <w:rPr>
          <w:rStyle w:val="Puslapioinaosnuoroda"/>
          <w:sz w:val="24"/>
          <w:szCs w:val="24"/>
          <w:lang w:eastAsia="en-US"/>
        </w:rPr>
        <w:footnoteReference w:id="1"/>
      </w:r>
    </w:p>
    <w:tbl>
      <w:tblPr>
        <w:tblStyle w:val="Lentelstinklelis"/>
        <w:tblW w:w="0" w:type="auto"/>
        <w:jc w:val="center"/>
        <w:tblLook w:val="04A0" w:firstRow="1" w:lastRow="0" w:firstColumn="1" w:lastColumn="0" w:noHBand="0" w:noVBand="1"/>
      </w:tblPr>
      <w:tblGrid>
        <w:gridCol w:w="4886"/>
        <w:gridCol w:w="1564"/>
        <w:gridCol w:w="1488"/>
        <w:gridCol w:w="1691"/>
      </w:tblGrid>
      <w:tr w:rsidR="00A31C5F" w:rsidRPr="00340337" w14:paraId="254CA4D1" w14:textId="77777777" w:rsidTr="00A31C5F">
        <w:trPr>
          <w:jc w:val="center"/>
        </w:trPr>
        <w:tc>
          <w:tcPr>
            <w:tcW w:w="5071" w:type="dxa"/>
            <w:shd w:val="clear" w:color="auto" w:fill="auto"/>
            <w:vAlign w:val="center"/>
          </w:tcPr>
          <w:p w14:paraId="18AFA687" w14:textId="77777777" w:rsidR="00A4180A" w:rsidRPr="00340337" w:rsidRDefault="00A4180A" w:rsidP="00356647">
            <w:pPr>
              <w:tabs>
                <w:tab w:val="left" w:pos="993"/>
              </w:tabs>
              <w:rPr>
                <w:b/>
                <w:sz w:val="24"/>
                <w:szCs w:val="24"/>
              </w:rPr>
            </w:pPr>
            <w:r w:rsidRPr="00340337">
              <w:rPr>
                <w:rFonts w:eastAsiaTheme="minorEastAsia"/>
                <w:b/>
                <w:kern w:val="24"/>
                <w:sz w:val="24"/>
                <w:szCs w:val="24"/>
              </w:rPr>
              <w:t>Gyventojai, tūkst.</w:t>
            </w:r>
          </w:p>
        </w:tc>
        <w:tc>
          <w:tcPr>
            <w:tcW w:w="1610" w:type="dxa"/>
            <w:shd w:val="clear" w:color="auto" w:fill="auto"/>
            <w:vAlign w:val="center"/>
          </w:tcPr>
          <w:p w14:paraId="25943793" w14:textId="77777777" w:rsidR="00A4180A" w:rsidRPr="00340337" w:rsidRDefault="00A4180A" w:rsidP="00356647">
            <w:pPr>
              <w:tabs>
                <w:tab w:val="left" w:pos="993"/>
              </w:tabs>
              <w:jc w:val="center"/>
              <w:rPr>
                <w:b/>
                <w:sz w:val="24"/>
                <w:szCs w:val="24"/>
              </w:rPr>
            </w:pPr>
            <w:r w:rsidRPr="00340337">
              <w:rPr>
                <w:rFonts w:eastAsiaTheme="minorEastAsia"/>
                <w:b/>
                <w:kern w:val="24"/>
                <w:sz w:val="24"/>
                <w:szCs w:val="24"/>
              </w:rPr>
              <w:t>2018</w:t>
            </w:r>
          </w:p>
        </w:tc>
        <w:tc>
          <w:tcPr>
            <w:tcW w:w="1530" w:type="dxa"/>
            <w:shd w:val="clear" w:color="auto" w:fill="auto"/>
            <w:vAlign w:val="center"/>
          </w:tcPr>
          <w:p w14:paraId="4224D486" w14:textId="77777777" w:rsidR="00A4180A" w:rsidRPr="00340337" w:rsidRDefault="00A4180A" w:rsidP="00356647">
            <w:pPr>
              <w:tabs>
                <w:tab w:val="left" w:pos="993"/>
              </w:tabs>
              <w:jc w:val="center"/>
              <w:rPr>
                <w:b/>
                <w:sz w:val="24"/>
                <w:szCs w:val="24"/>
              </w:rPr>
            </w:pPr>
            <w:r w:rsidRPr="00340337">
              <w:rPr>
                <w:rFonts w:eastAsiaTheme="minorEastAsia"/>
                <w:b/>
                <w:kern w:val="24"/>
                <w:sz w:val="24"/>
                <w:szCs w:val="24"/>
              </w:rPr>
              <w:t>2017</w:t>
            </w:r>
          </w:p>
        </w:tc>
        <w:tc>
          <w:tcPr>
            <w:tcW w:w="1710" w:type="dxa"/>
            <w:shd w:val="clear" w:color="auto" w:fill="auto"/>
            <w:vAlign w:val="center"/>
          </w:tcPr>
          <w:p w14:paraId="19F9F585" w14:textId="77777777" w:rsidR="00A4180A" w:rsidRPr="00340337" w:rsidRDefault="00A4180A" w:rsidP="00356647">
            <w:pPr>
              <w:tabs>
                <w:tab w:val="left" w:pos="993"/>
              </w:tabs>
              <w:jc w:val="center"/>
              <w:rPr>
                <w:b/>
                <w:sz w:val="24"/>
                <w:szCs w:val="24"/>
              </w:rPr>
            </w:pPr>
            <w:r w:rsidRPr="00340337">
              <w:rPr>
                <w:rFonts w:eastAsiaTheme="minorEastAsia"/>
                <w:b/>
                <w:kern w:val="24"/>
                <w:sz w:val="24"/>
                <w:szCs w:val="24"/>
              </w:rPr>
              <w:t>Skirtumas, %</w:t>
            </w:r>
          </w:p>
        </w:tc>
      </w:tr>
      <w:tr w:rsidR="00A31C5F" w:rsidRPr="00340337" w14:paraId="009ECD91" w14:textId="77777777" w:rsidTr="00A31C5F">
        <w:trPr>
          <w:jc w:val="center"/>
        </w:trPr>
        <w:tc>
          <w:tcPr>
            <w:tcW w:w="5071" w:type="dxa"/>
            <w:shd w:val="clear" w:color="auto" w:fill="auto"/>
            <w:vAlign w:val="center"/>
          </w:tcPr>
          <w:p w14:paraId="085BB3EE" w14:textId="77777777" w:rsidR="00A4180A" w:rsidRPr="00340337" w:rsidRDefault="00A4180A" w:rsidP="00356647">
            <w:pPr>
              <w:tabs>
                <w:tab w:val="left" w:pos="993"/>
              </w:tabs>
              <w:rPr>
                <w:b/>
                <w:sz w:val="24"/>
                <w:szCs w:val="24"/>
              </w:rPr>
            </w:pPr>
            <w:r w:rsidRPr="00340337">
              <w:rPr>
                <w:rFonts w:eastAsiaTheme="minorEastAsia"/>
                <w:b/>
                <w:kern w:val="24"/>
                <w:sz w:val="24"/>
                <w:szCs w:val="24"/>
              </w:rPr>
              <w:t>Klaipėdos miestas ir rajonas</w:t>
            </w:r>
          </w:p>
        </w:tc>
        <w:tc>
          <w:tcPr>
            <w:tcW w:w="1610" w:type="dxa"/>
            <w:shd w:val="clear" w:color="auto" w:fill="auto"/>
            <w:vAlign w:val="center"/>
          </w:tcPr>
          <w:p w14:paraId="4112684F" w14:textId="77777777" w:rsidR="00A4180A" w:rsidRPr="00340337" w:rsidRDefault="00A4180A" w:rsidP="00356647">
            <w:pPr>
              <w:tabs>
                <w:tab w:val="left" w:pos="993"/>
              </w:tabs>
              <w:jc w:val="center"/>
              <w:rPr>
                <w:b/>
                <w:sz w:val="24"/>
                <w:szCs w:val="24"/>
              </w:rPr>
            </w:pPr>
            <w:r w:rsidRPr="00340337">
              <w:rPr>
                <w:rFonts w:eastAsiaTheme="minorEastAsia"/>
                <w:b/>
                <w:kern w:val="24"/>
                <w:sz w:val="24"/>
                <w:szCs w:val="24"/>
              </w:rPr>
              <w:t>205 424</w:t>
            </w:r>
          </w:p>
        </w:tc>
        <w:tc>
          <w:tcPr>
            <w:tcW w:w="1530" w:type="dxa"/>
            <w:shd w:val="clear" w:color="auto" w:fill="auto"/>
            <w:vAlign w:val="center"/>
          </w:tcPr>
          <w:p w14:paraId="7A387709" w14:textId="77777777" w:rsidR="00A4180A" w:rsidRPr="00340337" w:rsidRDefault="00A4180A" w:rsidP="00356647">
            <w:pPr>
              <w:tabs>
                <w:tab w:val="left" w:pos="993"/>
              </w:tabs>
              <w:jc w:val="center"/>
              <w:rPr>
                <w:b/>
                <w:sz w:val="24"/>
                <w:szCs w:val="24"/>
              </w:rPr>
            </w:pPr>
            <w:r w:rsidRPr="00340337">
              <w:rPr>
                <w:rFonts w:eastAsiaTheme="minorEastAsia"/>
                <w:b/>
                <w:kern w:val="24"/>
                <w:sz w:val="24"/>
                <w:szCs w:val="24"/>
              </w:rPr>
              <w:t>208 201</w:t>
            </w:r>
          </w:p>
        </w:tc>
        <w:tc>
          <w:tcPr>
            <w:tcW w:w="1710" w:type="dxa"/>
            <w:shd w:val="clear" w:color="auto" w:fill="auto"/>
            <w:vAlign w:val="center"/>
          </w:tcPr>
          <w:p w14:paraId="633B9A64" w14:textId="77777777" w:rsidR="00A4180A" w:rsidRPr="00340337" w:rsidRDefault="00A4180A" w:rsidP="00356647">
            <w:pPr>
              <w:tabs>
                <w:tab w:val="left" w:pos="993"/>
              </w:tabs>
              <w:jc w:val="center"/>
              <w:rPr>
                <w:b/>
                <w:sz w:val="24"/>
                <w:szCs w:val="24"/>
              </w:rPr>
            </w:pPr>
            <w:r w:rsidRPr="00340337">
              <w:rPr>
                <w:rFonts w:eastAsiaTheme="minorEastAsia"/>
                <w:b/>
                <w:kern w:val="24"/>
                <w:sz w:val="24"/>
                <w:szCs w:val="24"/>
              </w:rPr>
              <w:t>-1,3%</w:t>
            </w:r>
          </w:p>
        </w:tc>
      </w:tr>
      <w:tr w:rsidR="00A31C5F" w:rsidRPr="00340337" w14:paraId="486CF359" w14:textId="77777777" w:rsidTr="00A31C5F">
        <w:trPr>
          <w:jc w:val="center"/>
        </w:trPr>
        <w:tc>
          <w:tcPr>
            <w:tcW w:w="5071" w:type="dxa"/>
            <w:shd w:val="clear" w:color="auto" w:fill="auto"/>
            <w:vAlign w:val="center"/>
          </w:tcPr>
          <w:p w14:paraId="6740E1FB" w14:textId="77777777" w:rsidR="00A4180A" w:rsidRPr="00340337" w:rsidRDefault="00A4180A" w:rsidP="00356647">
            <w:pPr>
              <w:tabs>
                <w:tab w:val="left" w:pos="993"/>
              </w:tabs>
              <w:rPr>
                <w:sz w:val="24"/>
                <w:szCs w:val="24"/>
              </w:rPr>
            </w:pPr>
            <w:r w:rsidRPr="00340337">
              <w:rPr>
                <w:rFonts w:eastAsiaTheme="minorEastAsia"/>
                <w:kern w:val="24"/>
                <w:sz w:val="24"/>
                <w:szCs w:val="24"/>
              </w:rPr>
              <w:t>Kauno miestas ir rajonas</w:t>
            </w:r>
          </w:p>
        </w:tc>
        <w:tc>
          <w:tcPr>
            <w:tcW w:w="1610" w:type="dxa"/>
            <w:shd w:val="clear" w:color="auto" w:fill="auto"/>
            <w:vAlign w:val="center"/>
          </w:tcPr>
          <w:p w14:paraId="3F2A3DC4"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379 178</w:t>
            </w:r>
          </w:p>
        </w:tc>
        <w:tc>
          <w:tcPr>
            <w:tcW w:w="1530" w:type="dxa"/>
            <w:shd w:val="clear" w:color="auto" w:fill="auto"/>
            <w:vAlign w:val="center"/>
          </w:tcPr>
          <w:p w14:paraId="52905681"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381 802</w:t>
            </w:r>
          </w:p>
        </w:tc>
        <w:tc>
          <w:tcPr>
            <w:tcW w:w="1710" w:type="dxa"/>
            <w:shd w:val="clear" w:color="auto" w:fill="auto"/>
            <w:vAlign w:val="center"/>
          </w:tcPr>
          <w:p w14:paraId="06536597"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-0,7%</w:t>
            </w:r>
          </w:p>
        </w:tc>
      </w:tr>
      <w:tr w:rsidR="00A31C5F" w:rsidRPr="00340337" w14:paraId="4F1B9726" w14:textId="77777777" w:rsidTr="00A31C5F">
        <w:trPr>
          <w:jc w:val="center"/>
        </w:trPr>
        <w:tc>
          <w:tcPr>
            <w:tcW w:w="5071" w:type="dxa"/>
            <w:shd w:val="clear" w:color="auto" w:fill="auto"/>
            <w:vAlign w:val="center"/>
          </w:tcPr>
          <w:p w14:paraId="16C07E97" w14:textId="77777777" w:rsidR="00A4180A" w:rsidRPr="00340337" w:rsidRDefault="00A4180A" w:rsidP="00356647">
            <w:pPr>
              <w:tabs>
                <w:tab w:val="left" w:pos="993"/>
              </w:tabs>
              <w:rPr>
                <w:sz w:val="24"/>
                <w:szCs w:val="24"/>
              </w:rPr>
            </w:pPr>
            <w:r w:rsidRPr="00340337">
              <w:rPr>
                <w:rFonts w:eastAsiaTheme="minorEastAsia"/>
                <w:kern w:val="24"/>
                <w:sz w:val="24"/>
                <w:szCs w:val="24"/>
              </w:rPr>
              <w:t>Vilniaus miestas ir rajonas</w:t>
            </w:r>
          </w:p>
        </w:tc>
        <w:tc>
          <w:tcPr>
            <w:tcW w:w="1610" w:type="dxa"/>
            <w:shd w:val="clear" w:color="auto" w:fill="auto"/>
            <w:vAlign w:val="center"/>
          </w:tcPr>
          <w:p w14:paraId="71C537DA"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646 707</w:t>
            </w:r>
          </w:p>
        </w:tc>
        <w:tc>
          <w:tcPr>
            <w:tcW w:w="1530" w:type="dxa"/>
            <w:shd w:val="clear" w:color="auto" w:fill="auto"/>
            <w:vAlign w:val="center"/>
          </w:tcPr>
          <w:p w14:paraId="35FC8D99"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642 365</w:t>
            </w:r>
          </w:p>
        </w:tc>
        <w:tc>
          <w:tcPr>
            <w:tcW w:w="1710" w:type="dxa"/>
            <w:shd w:val="clear" w:color="auto" w:fill="auto"/>
            <w:vAlign w:val="center"/>
          </w:tcPr>
          <w:p w14:paraId="34D0F389"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0,7%</w:t>
            </w:r>
          </w:p>
        </w:tc>
      </w:tr>
      <w:tr w:rsidR="00A31C5F" w:rsidRPr="00340337" w14:paraId="3ABEB83A" w14:textId="77777777" w:rsidTr="00A31C5F">
        <w:trPr>
          <w:jc w:val="center"/>
        </w:trPr>
        <w:tc>
          <w:tcPr>
            <w:tcW w:w="5071" w:type="dxa"/>
            <w:shd w:val="clear" w:color="auto" w:fill="auto"/>
            <w:vAlign w:val="center"/>
          </w:tcPr>
          <w:p w14:paraId="70827879" w14:textId="77777777" w:rsidR="00A4180A" w:rsidRPr="00340337" w:rsidRDefault="00A4180A" w:rsidP="00356647">
            <w:pPr>
              <w:tabs>
                <w:tab w:val="left" w:pos="993"/>
              </w:tabs>
              <w:rPr>
                <w:sz w:val="24"/>
                <w:szCs w:val="24"/>
              </w:rPr>
            </w:pPr>
            <w:r w:rsidRPr="00340337">
              <w:rPr>
                <w:rFonts w:eastAsiaTheme="minorEastAsia"/>
                <w:kern w:val="24"/>
                <w:sz w:val="24"/>
                <w:szCs w:val="24"/>
              </w:rPr>
              <w:t>Iš viso Lietuvoje</w:t>
            </w:r>
          </w:p>
        </w:tc>
        <w:tc>
          <w:tcPr>
            <w:tcW w:w="1610" w:type="dxa"/>
            <w:shd w:val="clear" w:color="auto" w:fill="auto"/>
            <w:vAlign w:val="center"/>
          </w:tcPr>
          <w:p w14:paraId="5854BAD5"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2 800 738</w:t>
            </w:r>
          </w:p>
        </w:tc>
        <w:tc>
          <w:tcPr>
            <w:tcW w:w="1530" w:type="dxa"/>
            <w:shd w:val="clear" w:color="auto" w:fill="auto"/>
            <w:vAlign w:val="center"/>
          </w:tcPr>
          <w:p w14:paraId="45906767"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2 824 030</w:t>
            </w:r>
          </w:p>
        </w:tc>
        <w:tc>
          <w:tcPr>
            <w:tcW w:w="1710" w:type="dxa"/>
            <w:shd w:val="clear" w:color="auto" w:fill="auto"/>
            <w:vAlign w:val="center"/>
          </w:tcPr>
          <w:p w14:paraId="4FDBB515" w14:textId="77777777" w:rsidR="00A4180A" w:rsidRPr="00340337" w:rsidRDefault="00A4180A" w:rsidP="00356647">
            <w:pPr>
              <w:tabs>
                <w:tab w:val="left" w:pos="993"/>
              </w:tabs>
              <w:jc w:val="center"/>
              <w:rPr>
                <w:sz w:val="24"/>
                <w:szCs w:val="24"/>
              </w:rPr>
            </w:pPr>
            <w:r w:rsidRPr="00340337">
              <w:rPr>
                <w:rFonts w:eastAsiaTheme="minorEastAsia"/>
                <w:kern w:val="24"/>
                <w:sz w:val="24"/>
                <w:szCs w:val="24"/>
              </w:rPr>
              <w:t>-0,8%</w:t>
            </w:r>
          </w:p>
        </w:tc>
      </w:tr>
    </w:tbl>
    <w:p w14:paraId="4EA4F379" w14:textId="7C124569" w:rsidR="00F9229F" w:rsidRPr="00340337" w:rsidRDefault="00F9229F" w:rsidP="00A31C5F">
      <w:pPr>
        <w:tabs>
          <w:tab w:val="left" w:pos="993"/>
        </w:tabs>
        <w:jc w:val="both"/>
        <w:rPr>
          <w:sz w:val="24"/>
          <w:szCs w:val="24"/>
        </w:rPr>
      </w:pPr>
      <w:r w:rsidRPr="00340337">
        <w:rPr>
          <w:sz w:val="24"/>
          <w:szCs w:val="24"/>
        </w:rPr>
        <w:tab/>
        <w:t xml:space="preserve">           </w:t>
      </w:r>
      <w:r w:rsidRPr="00340337">
        <w:rPr>
          <w:sz w:val="24"/>
          <w:szCs w:val="24"/>
        </w:rPr>
        <w:tab/>
        <w:t xml:space="preserve">              </w:t>
      </w:r>
    </w:p>
    <w:p w14:paraId="291D4831" w14:textId="769F255C" w:rsidR="00F9229F" w:rsidRPr="00340337" w:rsidRDefault="00A31C5F" w:rsidP="00A31C5F">
      <w:pPr>
        <w:pStyle w:val="Sraopastraipa"/>
        <w:numPr>
          <w:ilvl w:val="0"/>
          <w:numId w:val="6"/>
        </w:numPr>
        <w:tabs>
          <w:tab w:val="left" w:pos="993"/>
        </w:tabs>
        <w:ind w:left="0" w:firstLine="709"/>
        <w:jc w:val="both"/>
        <w:rPr>
          <w:sz w:val="24"/>
          <w:szCs w:val="24"/>
        </w:rPr>
      </w:pPr>
      <w:r w:rsidRPr="00340337">
        <w:rPr>
          <w:sz w:val="24"/>
          <w:szCs w:val="24"/>
        </w:rPr>
        <w:lastRenderedPageBreak/>
        <w:t>s</w:t>
      </w:r>
      <w:r w:rsidR="00F9229F" w:rsidRPr="00340337">
        <w:rPr>
          <w:sz w:val="24"/>
          <w:szCs w:val="24"/>
        </w:rPr>
        <w:t xml:space="preserve">tudijas baigę absolventai – IT, inžinerijos, kalbų, verslo administravimo specialistų pasiūla stipriai atsilieka nuo kitų Lietuvos miestų, jau nekalbant apie pagrindinius miestus-konkurentus Lenkijoje (žr. </w:t>
      </w:r>
      <w:r w:rsidRPr="00340337">
        <w:rPr>
          <w:sz w:val="24"/>
          <w:szCs w:val="24"/>
        </w:rPr>
        <w:t xml:space="preserve">2 </w:t>
      </w:r>
      <w:r w:rsidR="00F9229F" w:rsidRPr="00340337">
        <w:rPr>
          <w:sz w:val="24"/>
          <w:szCs w:val="24"/>
        </w:rPr>
        <w:t xml:space="preserve">lentelę). </w:t>
      </w:r>
    </w:p>
    <w:p w14:paraId="63675478" w14:textId="267E4BF9" w:rsidR="00F9229F" w:rsidRPr="00340337" w:rsidRDefault="00F9229F" w:rsidP="00F9229F">
      <w:pPr>
        <w:pStyle w:val="Sraopastraipa"/>
        <w:tabs>
          <w:tab w:val="left" w:pos="993"/>
        </w:tabs>
        <w:ind w:left="0" w:firstLine="709"/>
        <w:jc w:val="both"/>
        <w:rPr>
          <w:sz w:val="24"/>
          <w:szCs w:val="24"/>
        </w:rPr>
      </w:pPr>
    </w:p>
    <w:p w14:paraId="182AB522" w14:textId="77777777" w:rsidR="00A31C5F" w:rsidRPr="00340337" w:rsidRDefault="00A31C5F" w:rsidP="00A31C5F">
      <w:pPr>
        <w:tabs>
          <w:tab w:val="left" w:pos="993"/>
        </w:tabs>
        <w:jc w:val="center"/>
        <w:rPr>
          <w:sz w:val="22"/>
          <w:szCs w:val="22"/>
        </w:rPr>
      </w:pPr>
      <w:r w:rsidRPr="00340337">
        <w:rPr>
          <w:color w:val="000000"/>
          <w:sz w:val="24"/>
          <w:szCs w:val="24"/>
          <w:lang w:eastAsia="en-US"/>
        </w:rPr>
        <w:t xml:space="preserve">2 lentelė. </w:t>
      </w:r>
      <w:r w:rsidRPr="00340337">
        <w:rPr>
          <w:color w:val="000000"/>
          <w:sz w:val="22"/>
          <w:szCs w:val="22"/>
          <w:lang w:eastAsia="en-US"/>
        </w:rPr>
        <w:t>Ruošiamų studentų skaičius per metus  miestuose, kurie sėkmingai pritraukia paslaugų centrus.</w:t>
      </w:r>
      <w:r w:rsidRPr="00340337">
        <w:rPr>
          <w:color w:val="000000"/>
          <w:sz w:val="22"/>
          <w:szCs w:val="22"/>
          <w:vertAlign w:val="superscript"/>
          <w:lang w:eastAsia="en-US"/>
        </w:rPr>
        <w:footnoteReference w:id="2"/>
      </w:r>
    </w:p>
    <w:tbl>
      <w:tblPr>
        <w:tblW w:w="9496" w:type="dxa"/>
        <w:jc w:val="center"/>
        <w:tblCellMar>
          <w:left w:w="0" w:type="dxa"/>
          <w:right w:w="0" w:type="dxa"/>
        </w:tblCellMar>
        <w:tblLook w:val="0600" w:firstRow="0" w:lastRow="0" w:firstColumn="0" w:lastColumn="0" w:noHBand="1" w:noVBand="1"/>
      </w:tblPr>
      <w:tblGrid>
        <w:gridCol w:w="2119"/>
        <w:gridCol w:w="972"/>
        <w:gridCol w:w="1230"/>
        <w:gridCol w:w="1362"/>
        <w:gridCol w:w="800"/>
        <w:gridCol w:w="791"/>
        <w:gridCol w:w="1042"/>
        <w:gridCol w:w="1180"/>
      </w:tblGrid>
      <w:tr w:rsidR="00A31C5F" w:rsidRPr="00340337" w14:paraId="452FC357" w14:textId="77777777" w:rsidTr="00A31C5F">
        <w:trPr>
          <w:trHeight w:val="912"/>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9739B10" w14:textId="77777777" w:rsidR="00A31C5F" w:rsidRPr="00340337" w:rsidRDefault="00A31C5F" w:rsidP="00A31C5F">
            <w:pPr>
              <w:jc w:val="center"/>
              <w:textAlignment w:val="center"/>
              <w:rPr>
                <w:b/>
                <w:bCs/>
                <w:kern w:val="24"/>
                <w:sz w:val="24"/>
                <w:szCs w:val="24"/>
              </w:rPr>
            </w:pPr>
            <w:r w:rsidRPr="00340337">
              <w:rPr>
                <w:b/>
                <w:bCs/>
                <w:kern w:val="24"/>
                <w:sz w:val="24"/>
                <w:szCs w:val="24"/>
              </w:rPr>
              <w:t>Miestas</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3109A1E" w14:textId="77777777" w:rsidR="00A31C5F" w:rsidRPr="00340337" w:rsidRDefault="00A31C5F" w:rsidP="00A31C5F">
            <w:pPr>
              <w:jc w:val="center"/>
              <w:textAlignment w:val="center"/>
              <w:rPr>
                <w:b/>
                <w:bCs/>
                <w:kern w:val="24"/>
                <w:sz w:val="24"/>
                <w:szCs w:val="24"/>
              </w:rPr>
            </w:pPr>
            <w:r w:rsidRPr="00340337">
              <w:rPr>
                <w:b/>
                <w:bCs/>
                <w:kern w:val="24"/>
                <w:sz w:val="24"/>
                <w:szCs w:val="24"/>
              </w:rPr>
              <w:t>Paslaugų centrai</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EF53A8D" w14:textId="77777777" w:rsidR="00A31C5F" w:rsidRPr="00340337" w:rsidRDefault="00A31C5F" w:rsidP="00A31C5F">
            <w:pPr>
              <w:jc w:val="center"/>
              <w:textAlignment w:val="center"/>
              <w:rPr>
                <w:b/>
                <w:bCs/>
                <w:kern w:val="24"/>
                <w:sz w:val="24"/>
                <w:szCs w:val="24"/>
              </w:rPr>
            </w:pPr>
            <w:r w:rsidRPr="00340337">
              <w:rPr>
                <w:b/>
                <w:bCs/>
                <w:kern w:val="24"/>
                <w:sz w:val="24"/>
                <w:szCs w:val="24"/>
              </w:rPr>
              <w:t>Miesto populiacija</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0D42245" w14:textId="77777777" w:rsidR="00A31C5F" w:rsidRPr="00340337" w:rsidRDefault="00A31C5F" w:rsidP="00A31C5F">
            <w:pPr>
              <w:jc w:val="center"/>
              <w:textAlignment w:val="center"/>
              <w:rPr>
                <w:b/>
                <w:bCs/>
                <w:kern w:val="24"/>
                <w:sz w:val="24"/>
                <w:szCs w:val="24"/>
              </w:rPr>
            </w:pPr>
            <w:r w:rsidRPr="00340337">
              <w:rPr>
                <w:b/>
                <w:bCs/>
                <w:kern w:val="24"/>
                <w:sz w:val="24"/>
                <w:szCs w:val="24"/>
              </w:rPr>
              <w:t>Populiacija su priemiesčiais</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5336BE2" w14:textId="77777777" w:rsidR="00A31C5F" w:rsidRPr="00340337" w:rsidRDefault="00A31C5F" w:rsidP="00A31C5F">
            <w:pPr>
              <w:jc w:val="center"/>
              <w:textAlignment w:val="center"/>
              <w:rPr>
                <w:b/>
                <w:bCs/>
                <w:kern w:val="24"/>
                <w:sz w:val="24"/>
                <w:szCs w:val="24"/>
              </w:rPr>
            </w:pPr>
            <w:r w:rsidRPr="00340337">
              <w:rPr>
                <w:b/>
                <w:bCs/>
                <w:kern w:val="24"/>
                <w:sz w:val="24"/>
                <w:szCs w:val="24"/>
              </w:rPr>
              <w:t>IT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0BEAD7F" w14:textId="77777777" w:rsidR="00A31C5F" w:rsidRPr="00340337" w:rsidRDefault="00A31C5F" w:rsidP="00A31C5F">
            <w:pPr>
              <w:jc w:val="center"/>
              <w:textAlignment w:val="center"/>
              <w:rPr>
                <w:b/>
                <w:bCs/>
                <w:kern w:val="24"/>
                <w:sz w:val="24"/>
                <w:szCs w:val="24"/>
              </w:rPr>
            </w:pPr>
            <w:r w:rsidRPr="00340337">
              <w:rPr>
                <w:b/>
                <w:bCs/>
                <w:kern w:val="24"/>
                <w:sz w:val="24"/>
                <w:szCs w:val="24"/>
              </w:rPr>
              <w:t>Kalbos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E12A64C" w14:textId="77777777" w:rsidR="00A31C5F" w:rsidRPr="00340337" w:rsidRDefault="00A31C5F" w:rsidP="00A31C5F">
            <w:pPr>
              <w:jc w:val="center"/>
              <w:textAlignment w:val="center"/>
              <w:rPr>
                <w:b/>
                <w:bCs/>
                <w:kern w:val="24"/>
                <w:sz w:val="24"/>
                <w:szCs w:val="24"/>
              </w:rPr>
            </w:pPr>
            <w:r w:rsidRPr="00340337">
              <w:rPr>
                <w:b/>
                <w:bCs/>
                <w:kern w:val="24"/>
                <w:sz w:val="24"/>
                <w:szCs w:val="24"/>
              </w:rPr>
              <w:t>Inžinerija</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C827E30" w14:textId="77777777" w:rsidR="00A31C5F" w:rsidRPr="00340337" w:rsidRDefault="00A31C5F" w:rsidP="00A31C5F">
            <w:pPr>
              <w:jc w:val="center"/>
              <w:textAlignment w:val="center"/>
              <w:rPr>
                <w:b/>
                <w:bCs/>
                <w:kern w:val="24"/>
                <w:sz w:val="24"/>
                <w:szCs w:val="24"/>
              </w:rPr>
            </w:pPr>
            <w:r w:rsidRPr="00340337">
              <w:rPr>
                <w:b/>
                <w:bCs/>
                <w:kern w:val="24"/>
                <w:sz w:val="24"/>
                <w:szCs w:val="24"/>
              </w:rPr>
              <w:t>Admin</w:t>
            </w:r>
          </w:p>
        </w:tc>
      </w:tr>
      <w:tr w:rsidR="00A31C5F" w:rsidRPr="00340337" w14:paraId="1941437E" w14:textId="77777777" w:rsidTr="00A31C5F">
        <w:trPr>
          <w:trHeight w:val="30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465BA85"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Klaipėda</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DB158F5"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7AE8445"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172 271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D15400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205 039</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3463B37" w14:textId="77777777" w:rsidR="00A31C5F" w:rsidRPr="00340337" w:rsidRDefault="00A31C5F" w:rsidP="00A31C5F">
            <w:pPr>
              <w:jc w:val="center"/>
              <w:textAlignment w:val="center"/>
              <w:rPr>
                <w:sz w:val="24"/>
                <w:szCs w:val="24"/>
                <w:lang w:eastAsia="en-US"/>
              </w:rPr>
            </w:pPr>
            <w:r w:rsidRPr="00340337">
              <w:rPr>
                <w:b/>
                <w:color w:val="FF0000"/>
                <w:kern w:val="24"/>
                <w:sz w:val="24"/>
                <w:szCs w:val="24"/>
                <w:lang w:eastAsia="en-US"/>
              </w:rPr>
              <w:t>339</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85A6B66" w14:textId="77777777" w:rsidR="00A31C5F" w:rsidRPr="00340337" w:rsidRDefault="00A31C5F" w:rsidP="00A31C5F">
            <w:pPr>
              <w:jc w:val="center"/>
              <w:textAlignment w:val="center"/>
              <w:rPr>
                <w:sz w:val="24"/>
                <w:szCs w:val="24"/>
                <w:lang w:eastAsia="en-US"/>
              </w:rPr>
            </w:pPr>
            <w:r w:rsidRPr="00340337">
              <w:rPr>
                <w:b/>
                <w:color w:val="FF0000"/>
                <w:kern w:val="24"/>
                <w:sz w:val="24"/>
                <w:szCs w:val="24"/>
                <w:lang w:eastAsia="en-US"/>
              </w:rPr>
              <w:t>158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FD6E74C" w14:textId="77777777" w:rsidR="00A31C5F" w:rsidRPr="00340337" w:rsidRDefault="00A31C5F" w:rsidP="00A31C5F">
            <w:pPr>
              <w:jc w:val="center"/>
              <w:textAlignment w:val="center"/>
              <w:rPr>
                <w:sz w:val="24"/>
                <w:szCs w:val="24"/>
                <w:lang w:eastAsia="en-US"/>
              </w:rPr>
            </w:pPr>
            <w:r w:rsidRPr="00340337">
              <w:rPr>
                <w:b/>
                <w:color w:val="FF0000"/>
                <w:kern w:val="24"/>
                <w:sz w:val="24"/>
                <w:szCs w:val="24"/>
                <w:lang w:eastAsia="en-US"/>
              </w:rPr>
              <w:t>1 758</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2740DC6" w14:textId="77777777" w:rsidR="00A31C5F" w:rsidRPr="00340337" w:rsidRDefault="00A31C5F" w:rsidP="00A31C5F">
            <w:pPr>
              <w:jc w:val="center"/>
              <w:textAlignment w:val="center"/>
              <w:rPr>
                <w:sz w:val="24"/>
                <w:szCs w:val="24"/>
                <w:lang w:eastAsia="en-US"/>
              </w:rPr>
            </w:pPr>
            <w:r w:rsidRPr="00340337">
              <w:rPr>
                <w:b/>
                <w:color w:val="FF0000"/>
                <w:kern w:val="24"/>
                <w:sz w:val="24"/>
                <w:szCs w:val="24"/>
                <w:lang w:eastAsia="en-US"/>
              </w:rPr>
              <w:t>2 513</w:t>
            </w:r>
          </w:p>
        </w:tc>
      </w:tr>
      <w:tr w:rsidR="00A31C5F" w:rsidRPr="00340337" w14:paraId="368D44F8" w14:textId="77777777" w:rsidTr="00A31C5F">
        <w:trPr>
          <w:trHeight w:val="243"/>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7C6F516"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Kaunas</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6B555A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5A41A3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312,524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38ED0C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380 974</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8EC347E"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3 245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8A6833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1 320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704ACB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7 964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9630396"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5 316</w:t>
            </w:r>
          </w:p>
        </w:tc>
      </w:tr>
      <w:tr w:rsidR="00A31C5F" w:rsidRPr="00340337" w14:paraId="08FAABAA" w14:textId="77777777" w:rsidTr="00A31C5F">
        <w:trPr>
          <w:trHeight w:val="12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49BAFC4"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Vilnius</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3B2CB9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D395472"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536,631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B69652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805 367</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55AEE9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4 931</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C80447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2 667</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FCF5DD4"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7 053</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14F4443"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12 440</w:t>
            </w:r>
          </w:p>
        </w:tc>
      </w:tr>
      <w:tr w:rsidR="00A31C5F" w:rsidRPr="00340337" w14:paraId="4C34D4BE"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3984CD6"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Tricity</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4C86A6F"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135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7A8031C"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748 126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38C1A64"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1 098 379</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0DD6AA2"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3 600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950AFE1"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4 200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7781B3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12 300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5B8C39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18 900</w:t>
            </w:r>
          </w:p>
        </w:tc>
      </w:tr>
      <w:tr w:rsidR="00A31C5F" w:rsidRPr="00340337" w14:paraId="5E4A345C"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1D26926"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Krakow</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0188E6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195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91BD6B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769 498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C090764"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1 725 894</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16D6A29"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8 200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D8E70D9"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8 300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C8C1962"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21 200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5B6BBA9"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25 100</w:t>
            </w:r>
          </w:p>
        </w:tc>
      </w:tr>
      <w:tr w:rsidR="00A31C5F" w:rsidRPr="00340337" w14:paraId="131CEF0F"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FC791D3"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Lodz</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63234C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76</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F1F8A10"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687 702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8006481"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1 100 000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21C506E"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6 300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3463BD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4 200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8728392"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7 300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C2E310E"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18 400</w:t>
            </w:r>
          </w:p>
        </w:tc>
      </w:tr>
      <w:tr w:rsidR="00A31C5F" w:rsidRPr="00340337" w14:paraId="26192A6F"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80BC76C"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Poznan</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6EE642F"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93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28632C6"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537 643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1568549"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1 400 000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F441391"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4 300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1AF778B"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8 900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389EF7B"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11 000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DB50F4E"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28 000</w:t>
            </w:r>
          </w:p>
        </w:tc>
      </w:tr>
      <w:tr w:rsidR="00A31C5F" w:rsidRPr="00340337" w14:paraId="19470099"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E7DAAFC"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Warsaw</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615440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8DFF9D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1 764 615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3808E83"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3 100 844</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5E81686"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14 000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3B4F1D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9 400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FAE92CF"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22 100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742D08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47 600</w:t>
            </w:r>
          </w:p>
        </w:tc>
      </w:tr>
      <w:tr w:rsidR="00A31C5F" w:rsidRPr="00340337" w14:paraId="7BA2ACED"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3EEA57A"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Wroclaw</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54F267F"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154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8847C33"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639 258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D9D94DC"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1 164 600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16477B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7 700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6517F5F"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6 600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F903BD3"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17 500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B53DF1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26 000</w:t>
            </w:r>
          </w:p>
        </w:tc>
      </w:tr>
      <w:tr w:rsidR="00A31C5F" w:rsidRPr="00340337" w14:paraId="603293C0"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AD1010D"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Bydgoszcz</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F221A6D"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A5CA51C"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358 614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F36F105"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470 285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9C94274"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1 500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9073CBA"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1 300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5B1643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2 500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15E781C"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2 100</w:t>
            </w:r>
          </w:p>
        </w:tc>
      </w:tr>
      <w:tr w:rsidR="00A31C5F" w:rsidRPr="00340337" w14:paraId="0C4DBEDA"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F5B14D4"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Lublin</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43AC7F5"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64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E15CBA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349 103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532DB13"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664 000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B0B4915"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3 600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AFF9B05"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3 500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AEAFA57"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4 800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392A841"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7 900</w:t>
            </w:r>
          </w:p>
        </w:tc>
      </w:tr>
      <w:tr w:rsidR="00A31C5F" w:rsidRPr="00340337" w14:paraId="49AF6A40"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1D9F60A1" w14:textId="77777777" w:rsidR="00A31C5F" w:rsidRPr="00340337" w:rsidRDefault="00A31C5F" w:rsidP="00A31C5F">
            <w:pPr>
              <w:textAlignment w:val="center"/>
              <w:rPr>
                <w:color w:val="000000"/>
                <w:kern w:val="24"/>
                <w:sz w:val="24"/>
                <w:szCs w:val="24"/>
                <w:lang w:eastAsia="en-US"/>
              </w:rPr>
            </w:pPr>
            <w:r w:rsidRPr="00340337">
              <w:rPr>
                <w:b/>
                <w:color w:val="BF956B"/>
                <w:kern w:val="24"/>
                <w:sz w:val="24"/>
                <w:szCs w:val="24"/>
              </w:rPr>
              <w:t>Rzeszow</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064AB325" w14:textId="77777777" w:rsidR="00A31C5F" w:rsidRPr="00340337" w:rsidRDefault="00A31C5F" w:rsidP="00A31C5F">
            <w:pPr>
              <w:jc w:val="center"/>
              <w:textAlignment w:val="center"/>
              <w:rPr>
                <w:color w:val="000000"/>
                <w:kern w:val="24"/>
                <w:sz w:val="24"/>
                <w:szCs w:val="24"/>
                <w:lang w:eastAsia="en-US"/>
              </w:rPr>
            </w:pPr>
            <w:r w:rsidRPr="00340337">
              <w:rPr>
                <w:b/>
                <w:color w:val="BF956B"/>
                <w:kern w:val="24"/>
                <w:sz w:val="24"/>
                <w:szCs w:val="24"/>
              </w:rPr>
              <w:t>32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7AC73DD2" w14:textId="77777777" w:rsidR="00A31C5F" w:rsidRPr="00340337" w:rsidRDefault="00A31C5F" w:rsidP="00A31C5F">
            <w:pPr>
              <w:jc w:val="center"/>
              <w:textAlignment w:val="center"/>
              <w:rPr>
                <w:color w:val="000000"/>
                <w:kern w:val="24"/>
                <w:sz w:val="24"/>
                <w:szCs w:val="24"/>
                <w:lang w:eastAsia="en-US"/>
              </w:rPr>
            </w:pPr>
            <w:r w:rsidRPr="00340337">
              <w:rPr>
                <w:b/>
                <w:color w:val="BF956B"/>
                <w:kern w:val="24"/>
                <w:sz w:val="24"/>
                <w:szCs w:val="24"/>
              </w:rPr>
              <w:t>190 203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489BA803" w14:textId="77777777" w:rsidR="00A31C5F" w:rsidRPr="00340337" w:rsidRDefault="00A31C5F" w:rsidP="00A31C5F">
            <w:pPr>
              <w:jc w:val="center"/>
              <w:textAlignment w:val="center"/>
              <w:rPr>
                <w:color w:val="000000"/>
                <w:kern w:val="24"/>
                <w:sz w:val="24"/>
                <w:szCs w:val="24"/>
                <w:lang w:eastAsia="en-US"/>
              </w:rPr>
            </w:pPr>
            <w:r w:rsidRPr="00340337">
              <w:rPr>
                <w:b/>
                <w:color w:val="BF956B"/>
                <w:kern w:val="24"/>
                <w:sz w:val="24"/>
                <w:szCs w:val="24"/>
              </w:rPr>
              <w:t>350 000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16894559" w14:textId="77777777" w:rsidR="00A31C5F" w:rsidRPr="00340337" w:rsidRDefault="00A31C5F" w:rsidP="00A31C5F">
            <w:pPr>
              <w:jc w:val="center"/>
              <w:textAlignment w:val="center"/>
              <w:rPr>
                <w:color w:val="000000"/>
                <w:kern w:val="24"/>
                <w:sz w:val="24"/>
                <w:szCs w:val="24"/>
                <w:lang w:eastAsia="en-US"/>
              </w:rPr>
            </w:pPr>
            <w:r w:rsidRPr="00340337">
              <w:rPr>
                <w:b/>
                <w:color w:val="BF956B"/>
                <w:kern w:val="24"/>
                <w:sz w:val="24"/>
                <w:szCs w:val="24"/>
              </w:rPr>
              <w:t>2 500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2B361B09" w14:textId="77777777" w:rsidR="00A31C5F" w:rsidRPr="00340337" w:rsidRDefault="00A31C5F" w:rsidP="00A31C5F">
            <w:pPr>
              <w:jc w:val="center"/>
              <w:textAlignment w:val="center"/>
              <w:rPr>
                <w:color w:val="000000"/>
                <w:kern w:val="24"/>
                <w:sz w:val="24"/>
                <w:szCs w:val="24"/>
                <w:lang w:eastAsia="en-US"/>
              </w:rPr>
            </w:pPr>
            <w:r w:rsidRPr="00340337">
              <w:rPr>
                <w:b/>
                <w:color w:val="BF956B"/>
                <w:kern w:val="24"/>
                <w:sz w:val="24"/>
                <w:szCs w:val="24"/>
              </w:rPr>
              <w:t>1 700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55B7E87B" w14:textId="77777777" w:rsidR="00A31C5F" w:rsidRPr="00340337" w:rsidRDefault="00A31C5F" w:rsidP="00A31C5F">
            <w:pPr>
              <w:jc w:val="center"/>
              <w:textAlignment w:val="center"/>
              <w:rPr>
                <w:color w:val="000000"/>
                <w:kern w:val="24"/>
                <w:sz w:val="24"/>
                <w:szCs w:val="24"/>
                <w:lang w:eastAsia="en-US"/>
              </w:rPr>
            </w:pPr>
            <w:r w:rsidRPr="00340337">
              <w:rPr>
                <w:b/>
                <w:color w:val="BF956B"/>
                <w:kern w:val="24"/>
                <w:sz w:val="24"/>
                <w:szCs w:val="24"/>
              </w:rPr>
              <w:t>7 000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0B5EAA14" w14:textId="77777777" w:rsidR="00A31C5F" w:rsidRPr="00340337" w:rsidRDefault="00A31C5F" w:rsidP="00A31C5F">
            <w:pPr>
              <w:jc w:val="center"/>
              <w:textAlignment w:val="center"/>
              <w:rPr>
                <w:color w:val="000000"/>
                <w:kern w:val="24"/>
                <w:sz w:val="24"/>
                <w:szCs w:val="24"/>
                <w:lang w:eastAsia="en-US"/>
              </w:rPr>
            </w:pPr>
            <w:r w:rsidRPr="00340337">
              <w:rPr>
                <w:b/>
                <w:color w:val="BF956B"/>
                <w:kern w:val="24"/>
                <w:sz w:val="24"/>
                <w:szCs w:val="24"/>
              </w:rPr>
              <w:t>7 700</w:t>
            </w:r>
          </w:p>
        </w:tc>
      </w:tr>
      <w:tr w:rsidR="00A31C5F" w:rsidRPr="00340337" w14:paraId="08D7BCC9" w14:textId="77777777" w:rsidTr="00A31C5F">
        <w:trPr>
          <w:trHeight w:val="276"/>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98C00CC" w14:textId="77777777" w:rsidR="00A31C5F" w:rsidRPr="00340337" w:rsidRDefault="00A31C5F" w:rsidP="00A31C5F">
            <w:pPr>
              <w:textAlignment w:val="center"/>
              <w:rPr>
                <w:sz w:val="24"/>
                <w:szCs w:val="24"/>
                <w:lang w:eastAsia="en-US"/>
              </w:rPr>
            </w:pPr>
            <w:r w:rsidRPr="00340337">
              <w:rPr>
                <w:color w:val="000000"/>
                <w:kern w:val="24"/>
                <w:sz w:val="24"/>
                <w:szCs w:val="24"/>
                <w:lang w:eastAsia="en-US"/>
              </w:rPr>
              <w:t>Szczecin</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B07935C"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CAD16ED"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403 274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7554829"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777 000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DBDFA00"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2 200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C2CB92E"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2 100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AC8D1D5"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3 400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526B418" w14:textId="77777777" w:rsidR="00A31C5F" w:rsidRPr="00340337" w:rsidRDefault="00A31C5F" w:rsidP="00A31C5F">
            <w:pPr>
              <w:jc w:val="center"/>
              <w:textAlignment w:val="center"/>
              <w:rPr>
                <w:sz w:val="24"/>
                <w:szCs w:val="24"/>
                <w:lang w:eastAsia="en-US"/>
              </w:rPr>
            </w:pPr>
            <w:r w:rsidRPr="00340337">
              <w:rPr>
                <w:color w:val="000000"/>
                <w:kern w:val="24"/>
                <w:sz w:val="24"/>
                <w:szCs w:val="24"/>
                <w:lang w:eastAsia="en-US"/>
              </w:rPr>
              <w:t>4900</w:t>
            </w:r>
          </w:p>
        </w:tc>
      </w:tr>
    </w:tbl>
    <w:p w14:paraId="0A3506F3" w14:textId="77777777" w:rsidR="00A31C5F" w:rsidRPr="00340337" w:rsidRDefault="00A31C5F" w:rsidP="00A31C5F">
      <w:pPr>
        <w:pStyle w:val="Sraopastraipa"/>
        <w:tabs>
          <w:tab w:val="left" w:pos="993"/>
        </w:tabs>
        <w:ind w:left="0"/>
        <w:jc w:val="both"/>
        <w:rPr>
          <w:sz w:val="24"/>
          <w:szCs w:val="24"/>
        </w:rPr>
      </w:pPr>
    </w:p>
    <w:p w14:paraId="4A46B070" w14:textId="531D9809" w:rsidR="00F9229F" w:rsidRPr="00340337" w:rsidRDefault="00A82208" w:rsidP="00A31C5F">
      <w:pPr>
        <w:pStyle w:val="Sraopastraipa"/>
        <w:numPr>
          <w:ilvl w:val="0"/>
          <w:numId w:val="6"/>
        </w:numPr>
        <w:tabs>
          <w:tab w:val="left" w:pos="993"/>
        </w:tabs>
        <w:ind w:left="0" w:firstLine="709"/>
        <w:jc w:val="both"/>
        <w:rPr>
          <w:sz w:val="24"/>
          <w:szCs w:val="24"/>
        </w:rPr>
      </w:pPr>
      <w:r w:rsidRPr="00340337">
        <w:rPr>
          <w:noProof/>
        </w:rPr>
        <w:drawing>
          <wp:anchor distT="0" distB="0" distL="114300" distR="114300" simplePos="0" relativeHeight="251658240" behindDoc="1" locked="0" layoutInCell="1" allowOverlap="1" wp14:anchorId="5C628443" wp14:editId="77786BDC">
            <wp:simplePos x="0" y="0"/>
            <wp:positionH relativeFrom="column">
              <wp:posOffset>565785</wp:posOffset>
            </wp:positionH>
            <wp:positionV relativeFrom="paragraph">
              <wp:posOffset>1479550</wp:posOffset>
            </wp:positionV>
            <wp:extent cx="4533900" cy="29032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903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C5F" w:rsidRPr="00340337">
        <w:rPr>
          <w:sz w:val="24"/>
          <w:szCs w:val="24"/>
        </w:rPr>
        <w:t>m</w:t>
      </w:r>
      <w:r w:rsidR="00F9229F" w:rsidRPr="00340337">
        <w:rPr>
          <w:sz w:val="24"/>
          <w:szCs w:val="24"/>
        </w:rPr>
        <w:t xml:space="preserve">aža </w:t>
      </w:r>
      <w:r w:rsidR="00A31C5F" w:rsidRPr="00340337">
        <w:rPr>
          <w:sz w:val="24"/>
          <w:szCs w:val="24"/>
        </w:rPr>
        <w:t>p</w:t>
      </w:r>
      <w:r w:rsidR="00F9229F" w:rsidRPr="00340337">
        <w:rPr>
          <w:sz w:val="24"/>
          <w:szCs w:val="24"/>
        </w:rPr>
        <w:t>aslaugų centrams tinkančių A klasės biurų pasiūla. Klaipėdos biurų rinka neįgauna pagreičio ir jau daug metų stagnuoja. Nekilnojamojo turto konsultacijos bendrovės Newsec duomenimis (žr. 1 pav.</w:t>
      </w:r>
      <w:r w:rsidR="00A31C5F" w:rsidRPr="00340337">
        <w:rPr>
          <w:sz w:val="24"/>
          <w:szCs w:val="24"/>
        </w:rPr>
        <w:t>)</w:t>
      </w:r>
      <w:r w:rsidRPr="00340337">
        <w:rPr>
          <w:noProof/>
        </w:rPr>
        <w:t xml:space="preserve"> </w:t>
      </w:r>
      <w:r w:rsidR="00F9229F" w:rsidRPr="00340337">
        <w:rPr>
          <w:sz w:val="24"/>
          <w:szCs w:val="24"/>
        </w:rPr>
        <w:t xml:space="preserve">, Klaipėdos modernių biurų rinkoje yra registruojama iki 15 atskirų verslo centrų. Rinkai kasmet pasiūloma vos po 1-2 labai mažo ploto administracinės paskirties pastatus, o didesni nei 1000 kv. m ploto biurų kompleksai beveik nėra plėtojami. Įvertinus pasiūlos trūkumą ir mažą naujų projektų srautą, galima teigti, kad Klaipėdos administracinių patalpų rinka labiau primena Panevėžio ar Šiaulių nei Kauno ar Vilniaus rinkas, o tokia situacija apriboja naujų investicijų atsiradimui verslo paslaugų sektoriuje. </w:t>
      </w:r>
      <w:r w:rsidR="00F9229F" w:rsidRPr="00340337">
        <w:rPr>
          <w:sz w:val="24"/>
          <w:szCs w:val="24"/>
        </w:rPr>
        <w:tab/>
      </w:r>
    </w:p>
    <w:p w14:paraId="65D93E87" w14:textId="77777777" w:rsidR="00CE4575" w:rsidRPr="00340337" w:rsidRDefault="00F9229F" w:rsidP="00CE4575">
      <w:pPr>
        <w:pStyle w:val="Sraopastraipa"/>
        <w:tabs>
          <w:tab w:val="left" w:pos="993"/>
        </w:tabs>
        <w:ind w:left="0" w:firstLine="709"/>
        <w:jc w:val="both"/>
        <w:rPr>
          <w:sz w:val="24"/>
          <w:szCs w:val="24"/>
        </w:rPr>
      </w:pPr>
      <w:r w:rsidRPr="00340337">
        <w:rPr>
          <w:sz w:val="24"/>
          <w:szCs w:val="24"/>
        </w:rPr>
        <w:t xml:space="preserve">                           1pav. (Newsec biurų patalpų analizė 2018)</w:t>
      </w:r>
    </w:p>
    <w:p w14:paraId="1A828AA7" w14:textId="25CA80F8" w:rsidR="00F9229F" w:rsidRPr="00340337" w:rsidRDefault="00F148BB" w:rsidP="00F148BB">
      <w:pPr>
        <w:pStyle w:val="Sraopastraipa"/>
        <w:numPr>
          <w:ilvl w:val="0"/>
          <w:numId w:val="6"/>
        </w:numPr>
        <w:tabs>
          <w:tab w:val="left" w:pos="1134"/>
        </w:tabs>
        <w:ind w:left="0" w:firstLine="709"/>
        <w:jc w:val="both"/>
        <w:rPr>
          <w:sz w:val="24"/>
          <w:szCs w:val="24"/>
        </w:rPr>
      </w:pPr>
      <w:r w:rsidRPr="00340337">
        <w:rPr>
          <w:sz w:val="24"/>
          <w:szCs w:val="24"/>
        </w:rPr>
        <w:lastRenderedPageBreak/>
        <w:t>n</w:t>
      </w:r>
      <w:r w:rsidR="00F9229F" w:rsidRPr="00340337">
        <w:rPr>
          <w:sz w:val="24"/>
          <w:szCs w:val="24"/>
        </w:rPr>
        <w:t>acionaliniu lygmeniu taikom</w:t>
      </w:r>
      <w:r w:rsidRPr="00340337">
        <w:rPr>
          <w:sz w:val="24"/>
          <w:szCs w:val="24"/>
        </w:rPr>
        <w:t xml:space="preserve">a investicijų pritraukimo parama </w:t>
      </w:r>
      <w:r w:rsidR="00F9229F" w:rsidRPr="00340337">
        <w:rPr>
          <w:sz w:val="24"/>
          <w:szCs w:val="24"/>
        </w:rPr>
        <w:t xml:space="preserve">Klaipėdai nesuteikia papildomo išskirtinumo ir svorio prie </w:t>
      </w:r>
      <w:r w:rsidRPr="00340337">
        <w:rPr>
          <w:sz w:val="24"/>
          <w:szCs w:val="24"/>
        </w:rPr>
        <w:t xml:space="preserve">investicijų pritraukimo </w:t>
      </w:r>
      <w:r w:rsidR="00F9229F" w:rsidRPr="00340337">
        <w:rPr>
          <w:sz w:val="24"/>
          <w:szCs w:val="24"/>
        </w:rPr>
        <w:t xml:space="preserve">vertės pasiūlymo. Todėl Klaipėdos savivaldybės siūloma </w:t>
      </w:r>
      <w:r w:rsidRPr="00340337">
        <w:rPr>
          <w:sz w:val="24"/>
          <w:szCs w:val="24"/>
        </w:rPr>
        <w:t xml:space="preserve">parama investuotojams įvairiomis finansinės paramos priemonėmis </w:t>
      </w:r>
      <w:r w:rsidR="00F9229F" w:rsidRPr="00340337">
        <w:rPr>
          <w:sz w:val="24"/>
          <w:szCs w:val="24"/>
        </w:rPr>
        <w:t>būtų kaip papildoma galimybė išsiskirti bendrame Lietuvos kontekste.</w:t>
      </w:r>
    </w:p>
    <w:p w14:paraId="3BBFBB34" w14:textId="77777777" w:rsidR="00F9229F" w:rsidRPr="00340337" w:rsidRDefault="00F9229F" w:rsidP="008D103E">
      <w:pPr>
        <w:pStyle w:val="Sraopastraipa"/>
        <w:tabs>
          <w:tab w:val="left" w:pos="993"/>
        </w:tabs>
        <w:ind w:left="0" w:firstLine="709"/>
        <w:jc w:val="both"/>
        <w:rPr>
          <w:sz w:val="24"/>
          <w:szCs w:val="24"/>
        </w:rPr>
      </w:pPr>
    </w:p>
    <w:p w14:paraId="46ED64C2" w14:textId="03F61EBB" w:rsidR="002153C1" w:rsidRPr="00340337" w:rsidRDefault="00577B54" w:rsidP="003E194A">
      <w:pPr>
        <w:ind w:firstLine="748"/>
        <w:jc w:val="both"/>
        <w:rPr>
          <w:b/>
          <w:sz w:val="24"/>
          <w:szCs w:val="24"/>
        </w:rPr>
      </w:pPr>
      <w:r w:rsidRPr="00340337">
        <w:rPr>
          <w:b/>
          <w:sz w:val="24"/>
          <w:szCs w:val="24"/>
        </w:rPr>
        <w:t>2</w:t>
      </w:r>
      <w:r w:rsidR="002153C1" w:rsidRPr="00340337">
        <w:rPr>
          <w:b/>
          <w:sz w:val="24"/>
          <w:szCs w:val="24"/>
        </w:rPr>
        <w:t>. Projekto rengimo priežastys ir kuo remiantis parengtas sprendimo projektas.</w:t>
      </w:r>
    </w:p>
    <w:p w14:paraId="7425BFC3" w14:textId="77777777" w:rsidR="00B64645" w:rsidRPr="00340337" w:rsidRDefault="00C87DE2" w:rsidP="00D2354B">
      <w:pPr>
        <w:pStyle w:val="Antrats"/>
        <w:tabs>
          <w:tab w:val="left" w:pos="720"/>
        </w:tabs>
        <w:ind w:firstLine="709"/>
        <w:jc w:val="both"/>
        <w:rPr>
          <w:sz w:val="24"/>
          <w:szCs w:val="24"/>
        </w:rPr>
      </w:pPr>
      <w:r w:rsidRPr="00340337">
        <w:rPr>
          <w:sz w:val="24"/>
          <w:szCs w:val="24"/>
        </w:rPr>
        <w:t>Klaipėdos miesto savivaldybė nėra patvirtinusi jokių paramos priemonių finansavimo mechanizmų nei investuotojams, nei juo labiau paslaugų centrams. Nacionaliniu lygiu, VšĮ „Investuok Lietuvoje“ administruoja LR Ekonomikos ir inovacijų ministerijos sukurtą paskatos programą „TUI Invest +“6, kur investiciniam projektui gali būti skirta ne daugiau nei 25 % pagalbos dalis nuo planuojamose sukurti ilgalaikėse darbo vietose įdarbintų asmenų 24 mėnesių darbo užmokesčio, kai daugiau nei 50 % investicijų projekto vertės sudaro investicijos kuriant darbo vietas. Nors šios priemonės egzistavimas stiprina Lietuvos vertės pasiūlymą paslaugų sektoriaus įmonėms, praktika rodo, kad paskata paprastai siūloma pasaulinio lygio prekės ženklams, kurių atėjimas į Lietuvą gerina šalies įvaizdį bei reikšmingai prisideda prie šalies konkurencingumo. Tuo tarpu vertinant objektyviai, kol nebus reikšmingų pokyčių aptartų aiškinamojo rašto 1 punkte išvardintose srityse, Klaipėdos regionas tokių prekės ženklų prisitraukti negalės, net jei nacionalinio lygio paskata ir būtų pasiūlyta.</w:t>
      </w:r>
      <w:r w:rsidR="00B64645" w:rsidRPr="00340337">
        <w:rPr>
          <w:sz w:val="24"/>
          <w:szCs w:val="24"/>
        </w:rPr>
        <w:t xml:space="preserve"> </w:t>
      </w:r>
    </w:p>
    <w:p w14:paraId="196B3E81" w14:textId="52C895C0" w:rsidR="00D2354B" w:rsidRPr="00340337" w:rsidRDefault="007865AB" w:rsidP="00D2354B">
      <w:pPr>
        <w:pStyle w:val="Antrats"/>
        <w:tabs>
          <w:tab w:val="left" w:pos="720"/>
        </w:tabs>
        <w:ind w:firstLine="709"/>
        <w:jc w:val="both"/>
        <w:rPr>
          <w:sz w:val="24"/>
          <w:szCs w:val="24"/>
        </w:rPr>
      </w:pPr>
      <w:r w:rsidRPr="00340337">
        <w:rPr>
          <w:sz w:val="24"/>
          <w:szCs w:val="24"/>
        </w:rPr>
        <w:t xml:space="preserve">Sprendimo projektas parengtas </w:t>
      </w:r>
      <w:r w:rsidR="00227E6C" w:rsidRPr="00340337">
        <w:rPr>
          <w:sz w:val="24"/>
          <w:szCs w:val="24"/>
        </w:rPr>
        <w:t>Lietuvos Respublikos vietos savivaldos įstatymo 6 straipsnio 16 ir 38 punktais, 16 straipsnio 2 dalies 18 punktu, Lietuvos Respublikos smulkiojo ir vidutinio verslo plėtros įstatymo 6 straipsnio 2 punktu ir 7 straipsniu ir atsižvelgiant į Klaipėdos miesto savivaldybės tarybos 2018 m. balandžio 26 d. sprendimą Nr. T2-86 „Dėl pritarimo Klaipėdos miesto ekonominės plėtros strategijai ir įgyvendinimo veiksmų planui iki 2030 metų“ (toliau – KEPS 2030).</w:t>
      </w:r>
      <w:r w:rsidR="00D2354B" w:rsidRPr="00340337">
        <w:rPr>
          <w:sz w:val="24"/>
          <w:szCs w:val="24"/>
        </w:rPr>
        <w:t xml:space="preserve"> </w:t>
      </w:r>
    </w:p>
    <w:p w14:paraId="242DB6CB" w14:textId="78CAA26E" w:rsidR="00474F2C" w:rsidRPr="00340337" w:rsidRDefault="00D2354B" w:rsidP="00474F2C">
      <w:pPr>
        <w:pStyle w:val="Antrats"/>
        <w:tabs>
          <w:tab w:val="left" w:pos="720"/>
        </w:tabs>
        <w:ind w:firstLine="709"/>
        <w:jc w:val="both"/>
        <w:rPr>
          <w:sz w:val="24"/>
          <w:szCs w:val="24"/>
        </w:rPr>
      </w:pPr>
      <w:r w:rsidRPr="00340337">
        <w:rPr>
          <w:sz w:val="24"/>
          <w:szCs w:val="24"/>
        </w:rPr>
        <w:t>Šiuo sprendimo projektu siekiama sudaryti palankias sąlygas įgyvendinti KEPS2030</w:t>
      </w:r>
      <w:r w:rsidR="00474F2C" w:rsidRPr="00340337">
        <w:rPr>
          <w:sz w:val="24"/>
          <w:szCs w:val="24"/>
        </w:rPr>
        <w:t xml:space="preserve"> siekiamus rodiklius (iki 2030 m. yra numatyta sukurti 25 000 naujų darbo vietų, įgyvendinti 100 naujų TUI projektų bei dvigubai „išauginti“ vidutinį atlyginimą). Šis projektas atlieptų Klaipėda2030 strategijos įgyvendinimo veiksmų plane iškeltą uždavinį Nr. 7.1. „Pritraukti profesinių paslaugų centrus“, bei numatytas 7.1.1. veiksmas „Sukurti patrauklių motyvacinių investicijų pritraukimo paketų pirmiesiems paslaugų centrams:</w:t>
      </w:r>
    </w:p>
    <w:p w14:paraId="10C64D40" w14:textId="77777777" w:rsidR="00474F2C" w:rsidRPr="00340337" w:rsidRDefault="00474F2C" w:rsidP="00474F2C">
      <w:pPr>
        <w:pStyle w:val="Antrats"/>
        <w:tabs>
          <w:tab w:val="left" w:pos="720"/>
        </w:tabs>
        <w:ind w:firstLine="709"/>
        <w:jc w:val="both"/>
        <w:rPr>
          <w:sz w:val="24"/>
          <w:szCs w:val="24"/>
        </w:rPr>
      </w:pPr>
    </w:p>
    <w:p w14:paraId="08CA4624" w14:textId="350D66CB" w:rsidR="00474F2C" w:rsidRPr="00340337" w:rsidRDefault="00474F2C" w:rsidP="00474F2C">
      <w:pPr>
        <w:pStyle w:val="Antrats"/>
        <w:tabs>
          <w:tab w:val="left" w:pos="720"/>
        </w:tabs>
        <w:jc w:val="both"/>
        <w:rPr>
          <w:sz w:val="24"/>
          <w:szCs w:val="24"/>
        </w:rPr>
      </w:pPr>
      <w:r w:rsidRPr="00340337">
        <w:rPr>
          <w:b/>
          <w:bCs/>
          <w:noProof/>
          <w:sz w:val="24"/>
          <w:szCs w:val="24"/>
        </w:rPr>
        <w:drawing>
          <wp:inline distT="0" distB="0" distL="0" distR="0" wp14:anchorId="5E2D51C9" wp14:editId="42E4B59A">
            <wp:extent cx="6251681"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6485" cy="1765182"/>
                    </a:xfrm>
                    <a:prstGeom prst="rect">
                      <a:avLst/>
                    </a:prstGeom>
                    <a:noFill/>
                    <a:ln>
                      <a:noFill/>
                    </a:ln>
                  </pic:spPr>
                </pic:pic>
              </a:graphicData>
            </a:graphic>
          </wp:inline>
        </w:drawing>
      </w:r>
    </w:p>
    <w:p w14:paraId="09A8EB9A" w14:textId="2F4FBDAB" w:rsidR="00D2354B" w:rsidRPr="00340337" w:rsidRDefault="00474F2C" w:rsidP="00474F2C">
      <w:pPr>
        <w:pStyle w:val="Antrats"/>
        <w:tabs>
          <w:tab w:val="left" w:pos="720"/>
        </w:tabs>
        <w:jc w:val="center"/>
        <w:rPr>
          <w:sz w:val="24"/>
          <w:szCs w:val="24"/>
        </w:rPr>
      </w:pPr>
      <w:r w:rsidRPr="00340337">
        <w:rPr>
          <w:sz w:val="24"/>
          <w:szCs w:val="24"/>
        </w:rPr>
        <w:t>2 pav. (Klaipėda 2030 strategijoje numatytomis įgyvendinimo priemonėmis).</w:t>
      </w:r>
    </w:p>
    <w:p w14:paraId="5ABA61A7" w14:textId="3B411CC2" w:rsidR="00474F2C" w:rsidRPr="00340337" w:rsidRDefault="00474F2C" w:rsidP="00D2354B">
      <w:pPr>
        <w:pStyle w:val="Antrats"/>
        <w:tabs>
          <w:tab w:val="left" w:pos="720"/>
        </w:tabs>
        <w:ind w:firstLine="709"/>
        <w:jc w:val="both"/>
        <w:rPr>
          <w:sz w:val="24"/>
          <w:szCs w:val="24"/>
        </w:rPr>
      </w:pPr>
    </w:p>
    <w:p w14:paraId="51EEB9BA" w14:textId="79C19FD6" w:rsidR="00723B52" w:rsidRPr="00340337" w:rsidRDefault="00723B52" w:rsidP="00723B52">
      <w:pPr>
        <w:pStyle w:val="Sraopastraipa"/>
        <w:numPr>
          <w:ilvl w:val="0"/>
          <w:numId w:val="4"/>
        </w:numPr>
        <w:tabs>
          <w:tab w:val="left" w:pos="993"/>
        </w:tabs>
        <w:jc w:val="both"/>
        <w:rPr>
          <w:sz w:val="24"/>
          <w:szCs w:val="24"/>
        </w:rPr>
      </w:pPr>
      <w:r w:rsidRPr="00340337">
        <w:rPr>
          <w:b/>
          <w:bCs/>
          <w:sz w:val="24"/>
          <w:szCs w:val="24"/>
        </w:rPr>
        <w:t>Kokių rezultatų laukiama.</w:t>
      </w:r>
    </w:p>
    <w:p w14:paraId="1719A9A8" w14:textId="77777777" w:rsidR="007152BB" w:rsidRPr="00340337" w:rsidRDefault="00723B52" w:rsidP="007152BB">
      <w:pPr>
        <w:pStyle w:val="Sraopastraipa"/>
        <w:tabs>
          <w:tab w:val="left" w:pos="993"/>
        </w:tabs>
        <w:ind w:left="0" w:firstLine="709"/>
        <w:jc w:val="both"/>
        <w:rPr>
          <w:sz w:val="24"/>
          <w:szCs w:val="24"/>
        </w:rPr>
      </w:pPr>
      <w:r w:rsidRPr="00340337">
        <w:rPr>
          <w:sz w:val="24"/>
          <w:szCs w:val="24"/>
        </w:rPr>
        <w:t xml:space="preserve">Patvirtinus </w:t>
      </w:r>
      <w:r w:rsidR="00FF4F25" w:rsidRPr="00340337">
        <w:rPr>
          <w:sz w:val="24"/>
          <w:szCs w:val="24"/>
        </w:rPr>
        <w:t xml:space="preserve">Aprašą </w:t>
      </w:r>
      <w:r w:rsidRPr="00340337">
        <w:rPr>
          <w:sz w:val="24"/>
          <w:szCs w:val="24"/>
        </w:rPr>
        <w:t>bus</w:t>
      </w:r>
      <w:r w:rsidR="00FF4F25" w:rsidRPr="00340337">
        <w:rPr>
          <w:sz w:val="24"/>
          <w:szCs w:val="24"/>
        </w:rPr>
        <w:t xml:space="preserve"> sudaromos galimybės investuotojams, prioritetine tvarka – paslaugų centrams, gauti paramą įvairiomis finansinės paramos priemonėmis</w:t>
      </w:r>
      <w:r w:rsidR="004156CC" w:rsidRPr="00340337">
        <w:rPr>
          <w:sz w:val="24"/>
          <w:szCs w:val="24"/>
        </w:rPr>
        <w:t xml:space="preserve">, kas padėtų sukurti integruotą investuotojų pritraukimo programą. </w:t>
      </w:r>
    </w:p>
    <w:p w14:paraId="1E46F671" w14:textId="77777777" w:rsidR="00841D6C" w:rsidRPr="00340337" w:rsidRDefault="00841D6C" w:rsidP="007152BB">
      <w:pPr>
        <w:pStyle w:val="Sraopastraipa"/>
        <w:tabs>
          <w:tab w:val="left" w:pos="993"/>
        </w:tabs>
        <w:ind w:left="0" w:firstLine="709"/>
        <w:jc w:val="both"/>
        <w:rPr>
          <w:sz w:val="24"/>
          <w:szCs w:val="24"/>
        </w:rPr>
      </w:pPr>
      <w:r w:rsidRPr="00340337">
        <w:rPr>
          <w:sz w:val="24"/>
          <w:szCs w:val="24"/>
        </w:rPr>
        <w:t>Numatoma pirmoji p</w:t>
      </w:r>
      <w:r w:rsidR="007152BB" w:rsidRPr="00340337">
        <w:rPr>
          <w:sz w:val="24"/>
          <w:szCs w:val="24"/>
        </w:rPr>
        <w:t>ilotin</w:t>
      </w:r>
      <w:r w:rsidRPr="00340337">
        <w:rPr>
          <w:sz w:val="24"/>
          <w:szCs w:val="24"/>
        </w:rPr>
        <w:t>ė</w:t>
      </w:r>
      <w:r w:rsidR="007152BB" w:rsidRPr="00340337">
        <w:rPr>
          <w:sz w:val="24"/>
          <w:szCs w:val="24"/>
        </w:rPr>
        <w:t xml:space="preserve"> </w:t>
      </w:r>
      <w:r w:rsidRPr="00340337">
        <w:rPr>
          <w:sz w:val="24"/>
          <w:szCs w:val="24"/>
        </w:rPr>
        <w:t xml:space="preserve">finansinės </w:t>
      </w:r>
      <w:r w:rsidR="007152BB" w:rsidRPr="00340337">
        <w:rPr>
          <w:sz w:val="24"/>
          <w:szCs w:val="24"/>
        </w:rPr>
        <w:t>paramos priemon</w:t>
      </w:r>
      <w:r w:rsidRPr="00340337">
        <w:rPr>
          <w:sz w:val="24"/>
          <w:szCs w:val="24"/>
        </w:rPr>
        <w:t xml:space="preserve">ė - vienos darbo vietos 1 metų nuomos išlaidų kompensavimas. Taikant tokią finansinės paramos priemonę tikimasi: </w:t>
      </w:r>
    </w:p>
    <w:p w14:paraId="002B5770" w14:textId="77777777" w:rsidR="00841D6C" w:rsidRPr="00340337" w:rsidRDefault="007152BB" w:rsidP="00841D6C">
      <w:pPr>
        <w:pStyle w:val="Sraopastraipa"/>
        <w:numPr>
          <w:ilvl w:val="0"/>
          <w:numId w:val="8"/>
        </w:numPr>
        <w:tabs>
          <w:tab w:val="left" w:pos="993"/>
        </w:tabs>
        <w:jc w:val="both"/>
        <w:rPr>
          <w:sz w:val="24"/>
          <w:szCs w:val="24"/>
        </w:rPr>
      </w:pPr>
      <w:r w:rsidRPr="00340337">
        <w:rPr>
          <w:sz w:val="24"/>
          <w:szCs w:val="24"/>
        </w:rPr>
        <w:t>2019 m. pritraukt</w:t>
      </w:r>
      <w:r w:rsidR="00841D6C" w:rsidRPr="00340337">
        <w:rPr>
          <w:sz w:val="24"/>
          <w:szCs w:val="24"/>
        </w:rPr>
        <w:t xml:space="preserve">i </w:t>
      </w:r>
      <w:r w:rsidRPr="00340337">
        <w:rPr>
          <w:sz w:val="24"/>
          <w:szCs w:val="24"/>
        </w:rPr>
        <w:t>1 paslaugų centrą</w:t>
      </w:r>
      <w:r w:rsidR="00841D6C" w:rsidRPr="00340337">
        <w:rPr>
          <w:sz w:val="24"/>
          <w:szCs w:val="24"/>
        </w:rPr>
        <w:t xml:space="preserve">, kuris galėtų sukurti </w:t>
      </w:r>
      <w:r w:rsidRPr="00340337">
        <w:rPr>
          <w:sz w:val="24"/>
          <w:szCs w:val="24"/>
        </w:rPr>
        <w:t>80 darbo vietų</w:t>
      </w:r>
      <w:r w:rsidR="00841D6C" w:rsidRPr="00340337">
        <w:rPr>
          <w:sz w:val="24"/>
          <w:szCs w:val="24"/>
        </w:rPr>
        <w:t>;</w:t>
      </w:r>
    </w:p>
    <w:p w14:paraId="0607A4E8" w14:textId="77777777" w:rsidR="00841D6C" w:rsidRPr="00340337" w:rsidRDefault="007152BB" w:rsidP="00841D6C">
      <w:pPr>
        <w:pStyle w:val="Sraopastraipa"/>
        <w:numPr>
          <w:ilvl w:val="0"/>
          <w:numId w:val="8"/>
        </w:numPr>
        <w:tabs>
          <w:tab w:val="left" w:pos="993"/>
        </w:tabs>
        <w:jc w:val="both"/>
        <w:rPr>
          <w:sz w:val="24"/>
          <w:szCs w:val="24"/>
        </w:rPr>
      </w:pPr>
      <w:r w:rsidRPr="00340337">
        <w:rPr>
          <w:sz w:val="24"/>
          <w:szCs w:val="24"/>
        </w:rPr>
        <w:t xml:space="preserve">2020 m. </w:t>
      </w:r>
      <w:r w:rsidR="00841D6C" w:rsidRPr="00340337">
        <w:rPr>
          <w:sz w:val="24"/>
          <w:szCs w:val="24"/>
        </w:rPr>
        <w:t xml:space="preserve">pritraukti </w:t>
      </w:r>
      <w:r w:rsidRPr="00340337">
        <w:rPr>
          <w:sz w:val="24"/>
          <w:szCs w:val="24"/>
        </w:rPr>
        <w:t>2 paslaugų centr</w:t>
      </w:r>
      <w:r w:rsidR="00841D6C" w:rsidRPr="00340337">
        <w:rPr>
          <w:sz w:val="24"/>
          <w:szCs w:val="24"/>
        </w:rPr>
        <w:t xml:space="preserve">us, kurie galėtų </w:t>
      </w:r>
      <w:r w:rsidRPr="00340337">
        <w:rPr>
          <w:sz w:val="24"/>
          <w:szCs w:val="24"/>
        </w:rPr>
        <w:t>sukur</w:t>
      </w:r>
      <w:r w:rsidR="00841D6C" w:rsidRPr="00340337">
        <w:rPr>
          <w:sz w:val="24"/>
          <w:szCs w:val="24"/>
        </w:rPr>
        <w:t xml:space="preserve">ti </w:t>
      </w:r>
      <w:r w:rsidRPr="00340337">
        <w:rPr>
          <w:sz w:val="24"/>
          <w:szCs w:val="24"/>
        </w:rPr>
        <w:t>150 darbo vietų</w:t>
      </w:r>
      <w:r w:rsidR="00841D6C" w:rsidRPr="00340337">
        <w:rPr>
          <w:sz w:val="24"/>
          <w:szCs w:val="24"/>
        </w:rPr>
        <w:t>;</w:t>
      </w:r>
    </w:p>
    <w:p w14:paraId="0F0559BA" w14:textId="77777777" w:rsidR="00841D6C" w:rsidRPr="00340337" w:rsidRDefault="007152BB" w:rsidP="00841D6C">
      <w:pPr>
        <w:pStyle w:val="Sraopastraipa"/>
        <w:numPr>
          <w:ilvl w:val="0"/>
          <w:numId w:val="8"/>
        </w:numPr>
        <w:tabs>
          <w:tab w:val="left" w:pos="993"/>
        </w:tabs>
        <w:jc w:val="both"/>
        <w:rPr>
          <w:sz w:val="24"/>
          <w:szCs w:val="24"/>
        </w:rPr>
      </w:pPr>
      <w:r w:rsidRPr="00340337">
        <w:rPr>
          <w:sz w:val="24"/>
          <w:szCs w:val="24"/>
        </w:rPr>
        <w:t xml:space="preserve">2021 m. </w:t>
      </w:r>
      <w:r w:rsidR="00841D6C" w:rsidRPr="00340337">
        <w:rPr>
          <w:sz w:val="24"/>
          <w:szCs w:val="24"/>
        </w:rPr>
        <w:t>pritraukti 3</w:t>
      </w:r>
      <w:r w:rsidRPr="00340337">
        <w:rPr>
          <w:sz w:val="24"/>
          <w:szCs w:val="24"/>
        </w:rPr>
        <w:t>-4 paslaugų centr</w:t>
      </w:r>
      <w:r w:rsidR="00841D6C" w:rsidRPr="00340337">
        <w:rPr>
          <w:sz w:val="24"/>
          <w:szCs w:val="24"/>
        </w:rPr>
        <w:t xml:space="preserve">us, kurie galėtų sukurti </w:t>
      </w:r>
      <w:r w:rsidRPr="00340337">
        <w:rPr>
          <w:sz w:val="24"/>
          <w:szCs w:val="24"/>
        </w:rPr>
        <w:t xml:space="preserve">245 darbo vietas. </w:t>
      </w:r>
    </w:p>
    <w:p w14:paraId="60128A6B" w14:textId="7F76A0A3" w:rsidR="007152BB" w:rsidRPr="00340337" w:rsidRDefault="00354C87" w:rsidP="00841D6C">
      <w:pPr>
        <w:tabs>
          <w:tab w:val="left" w:pos="709"/>
        </w:tabs>
        <w:ind w:firstLine="709"/>
        <w:jc w:val="both"/>
        <w:rPr>
          <w:sz w:val="24"/>
          <w:szCs w:val="24"/>
        </w:rPr>
      </w:pPr>
      <w:r w:rsidRPr="00340337">
        <w:rPr>
          <w:sz w:val="24"/>
          <w:szCs w:val="24"/>
        </w:rPr>
        <w:t>Šios finansinės paramos priemonės projektui įgyvendinti, t. y. paslaugų centrams kompensuoti 12 mėn, darbo vietas, atitinkamai reiktų: 2</w:t>
      </w:r>
      <w:r w:rsidR="007152BB" w:rsidRPr="00340337">
        <w:rPr>
          <w:sz w:val="24"/>
          <w:szCs w:val="24"/>
        </w:rPr>
        <w:t xml:space="preserve">020 m.  </w:t>
      </w:r>
      <w:r w:rsidRPr="00340337">
        <w:rPr>
          <w:sz w:val="24"/>
          <w:szCs w:val="24"/>
        </w:rPr>
        <w:t>–</w:t>
      </w:r>
      <w:r w:rsidR="007152BB" w:rsidRPr="00340337">
        <w:rPr>
          <w:sz w:val="24"/>
          <w:szCs w:val="24"/>
        </w:rPr>
        <w:t xml:space="preserve"> 76800</w:t>
      </w:r>
      <w:r w:rsidRPr="00340337">
        <w:rPr>
          <w:sz w:val="24"/>
          <w:szCs w:val="24"/>
        </w:rPr>
        <w:t xml:space="preserve"> Eur</w:t>
      </w:r>
      <w:r w:rsidR="007152BB" w:rsidRPr="00340337">
        <w:rPr>
          <w:sz w:val="24"/>
          <w:szCs w:val="24"/>
        </w:rPr>
        <w:t>,  2021 m. – 144000 Eur ir 2021 m.– 235200 Eur.</w:t>
      </w:r>
    </w:p>
    <w:p w14:paraId="3EA3701B" w14:textId="06B3C870" w:rsidR="001F555C" w:rsidRPr="00340337" w:rsidRDefault="007152BB" w:rsidP="007152BB">
      <w:pPr>
        <w:pStyle w:val="Sraopastraipa"/>
        <w:tabs>
          <w:tab w:val="left" w:pos="993"/>
        </w:tabs>
        <w:ind w:left="0" w:firstLine="709"/>
        <w:jc w:val="both"/>
        <w:rPr>
          <w:sz w:val="24"/>
          <w:szCs w:val="24"/>
        </w:rPr>
      </w:pPr>
      <w:r w:rsidRPr="00340337">
        <w:rPr>
          <w:sz w:val="24"/>
          <w:szCs w:val="24"/>
        </w:rPr>
        <w:t>Žemiau pateikiama projekcija, kiek reikia sukurti naujų darbo vietų siekiant įgyvendinti</w:t>
      </w:r>
      <w:r w:rsidR="00354C87" w:rsidRPr="00340337">
        <w:rPr>
          <w:sz w:val="24"/>
          <w:szCs w:val="24"/>
        </w:rPr>
        <w:t xml:space="preserve"> KEPS2030 </w:t>
      </w:r>
      <w:r w:rsidRPr="00340337">
        <w:rPr>
          <w:sz w:val="24"/>
          <w:szCs w:val="24"/>
        </w:rPr>
        <w:t>numatytus tikslus, su prielaida, jog iš 25000 naujų darbo vietų, 5000 sukurs esamas verslas, kuriam planuojamos priemonės neturės jokios įtakos</w:t>
      </w:r>
      <w:r w:rsidR="00354C87" w:rsidRPr="00340337">
        <w:rPr>
          <w:sz w:val="24"/>
          <w:szCs w:val="24"/>
        </w:rPr>
        <w:t xml:space="preserve"> (žr. 3 lentelę)</w:t>
      </w:r>
      <w:r w:rsidRPr="00340337">
        <w:rPr>
          <w:sz w:val="24"/>
          <w:szCs w:val="24"/>
        </w:rPr>
        <w:t>:</w:t>
      </w:r>
    </w:p>
    <w:p w14:paraId="72919AF1" w14:textId="56F20689" w:rsidR="00354C87" w:rsidRPr="00340337" w:rsidRDefault="00354C87" w:rsidP="007152BB">
      <w:pPr>
        <w:pStyle w:val="Sraopastraipa"/>
        <w:tabs>
          <w:tab w:val="left" w:pos="993"/>
        </w:tabs>
        <w:ind w:left="0" w:firstLine="709"/>
        <w:jc w:val="both"/>
        <w:rPr>
          <w:sz w:val="24"/>
          <w:szCs w:val="24"/>
        </w:rPr>
      </w:pPr>
    </w:p>
    <w:p w14:paraId="3386D986" w14:textId="4C0FF309" w:rsidR="00354C87" w:rsidRPr="00340337" w:rsidRDefault="00354C87" w:rsidP="00354C87">
      <w:pPr>
        <w:jc w:val="center"/>
        <w:rPr>
          <w:color w:val="000000" w:themeColor="text1"/>
          <w:sz w:val="24"/>
          <w:szCs w:val="24"/>
          <w:lang w:eastAsia="en-US"/>
        </w:rPr>
      </w:pPr>
      <w:r w:rsidRPr="00340337">
        <w:rPr>
          <w:color w:val="000000" w:themeColor="text1"/>
          <w:sz w:val="24"/>
          <w:szCs w:val="24"/>
          <w:lang w:eastAsia="en-US"/>
        </w:rPr>
        <w:t>3 lentelė. Prognozuojamas darbo vietų augimas pagal sektorius (Klaipėda ID projekcija)</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0"/>
        <w:gridCol w:w="1350"/>
        <w:gridCol w:w="1419"/>
      </w:tblGrid>
      <w:tr w:rsidR="00354C87" w:rsidRPr="00340337" w14:paraId="1C1B8DB3" w14:textId="77777777" w:rsidTr="00356647">
        <w:trPr>
          <w:trHeight w:val="565"/>
          <w:jc w:val="center"/>
        </w:trPr>
        <w:tc>
          <w:tcPr>
            <w:tcW w:w="1805" w:type="dxa"/>
            <w:shd w:val="clear" w:color="auto" w:fill="auto"/>
            <w:noWrap/>
            <w:vAlign w:val="center"/>
            <w:hideMark/>
          </w:tcPr>
          <w:p w14:paraId="5753C2FE" w14:textId="77777777" w:rsidR="00354C87" w:rsidRPr="00340337" w:rsidRDefault="00354C87" w:rsidP="00356647">
            <w:pPr>
              <w:jc w:val="center"/>
              <w:rPr>
                <w:b/>
                <w:sz w:val="24"/>
                <w:szCs w:val="24"/>
                <w:lang w:eastAsia="en-US"/>
              </w:rPr>
            </w:pPr>
            <w:r w:rsidRPr="00340337">
              <w:rPr>
                <w:b/>
                <w:sz w:val="24"/>
                <w:szCs w:val="24"/>
                <w:lang w:eastAsia="en-US"/>
              </w:rPr>
              <w:t>Metai</w:t>
            </w:r>
          </w:p>
        </w:tc>
        <w:tc>
          <w:tcPr>
            <w:tcW w:w="1800" w:type="dxa"/>
            <w:shd w:val="clear" w:color="auto" w:fill="auto"/>
            <w:noWrap/>
            <w:vAlign w:val="center"/>
            <w:hideMark/>
          </w:tcPr>
          <w:p w14:paraId="436C77E5" w14:textId="77777777" w:rsidR="00354C87" w:rsidRPr="00340337" w:rsidRDefault="00354C87" w:rsidP="00356647">
            <w:pPr>
              <w:jc w:val="center"/>
              <w:rPr>
                <w:b/>
                <w:sz w:val="24"/>
                <w:szCs w:val="24"/>
                <w:lang w:eastAsia="en-US"/>
              </w:rPr>
            </w:pPr>
            <w:r w:rsidRPr="00340337">
              <w:rPr>
                <w:b/>
                <w:sz w:val="24"/>
                <w:szCs w:val="24"/>
                <w:lang w:eastAsia="en-US"/>
              </w:rPr>
              <w:t>Darbo vietų skaičius</w:t>
            </w:r>
          </w:p>
        </w:tc>
        <w:tc>
          <w:tcPr>
            <w:tcW w:w="1350" w:type="dxa"/>
            <w:shd w:val="clear" w:color="auto" w:fill="auto"/>
            <w:noWrap/>
            <w:vAlign w:val="center"/>
            <w:hideMark/>
          </w:tcPr>
          <w:p w14:paraId="33405C11" w14:textId="77777777" w:rsidR="00354C87" w:rsidRPr="00340337" w:rsidRDefault="00354C87" w:rsidP="00356647">
            <w:pPr>
              <w:jc w:val="center"/>
              <w:rPr>
                <w:b/>
                <w:sz w:val="24"/>
                <w:szCs w:val="24"/>
                <w:lang w:eastAsia="en-US"/>
              </w:rPr>
            </w:pPr>
            <w:r w:rsidRPr="00340337">
              <w:rPr>
                <w:b/>
                <w:sz w:val="24"/>
                <w:szCs w:val="24"/>
                <w:lang w:eastAsia="en-US"/>
              </w:rPr>
              <w:t>Gamyba</w:t>
            </w:r>
          </w:p>
        </w:tc>
        <w:tc>
          <w:tcPr>
            <w:tcW w:w="1419" w:type="dxa"/>
            <w:tcBorders>
              <w:top w:val="single" w:sz="4" w:space="0" w:color="auto"/>
            </w:tcBorders>
            <w:shd w:val="clear" w:color="auto" w:fill="auto"/>
            <w:vAlign w:val="center"/>
            <w:hideMark/>
          </w:tcPr>
          <w:p w14:paraId="4718C3C7" w14:textId="77777777" w:rsidR="00354C87" w:rsidRPr="00340337" w:rsidRDefault="00354C87" w:rsidP="00356647">
            <w:pPr>
              <w:jc w:val="center"/>
              <w:rPr>
                <w:b/>
                <w:sz w:val="24"/>
                <w:szCs w:val="24"/>
                <w:lang w:eastAsia="en-US"/>
              </w:rPr>
            </w:pPr>
            <w:r w:rsidRPr="00340337">
              <w:rPr>
                <w:b/>
                <w:sz w:val="24"/>
                <w:szCs w:val="24"/>
                <w:lang w:eastAsia="en-US"/>
              </w:rPr>
              <w:t>Paslaugos</w:t>
            </w:r>
          </w:p>
        </w:tc>
      </w:tr>
      <w:tr w:rsidR="00354C87" w:rsidRPr="00340337" w14:paraId="3A930D29" w14:textId="77777777" w:rsidTr="00356647">
        <w:trPr>
          <w:trHeight w:val="255"/>
          <w:jc w:val="center"/>
        </w:trPr>
        <w:tc>
          <w:tcPr>
            <w:tcW w:w="1805" w:type="dxa"/>
            <w:shd w:val="clear" w:color="auto" w:fill="auto"/>
            <w:noWrap/>
            <w:vAlign w:val="bottom"/>
            <w:hideMark/>
          </w:tcPr>
          <w:p w14:paraId="6817CEC9" w14:textId="77777777" w:rsidR="00354C87" w:rsidRPr="00340337" w:rsidRDefault="00354C87" w:rsidP="00356647">
            <w:pPr>
              <w:jc w:val="center"/>
              <w:rPr>
                <w:sz w:val="24"/>
                <w:szCs w:val="24"/>
                <w:lang w:eastAsia="en-US"/>
              </w:rPr>
            </w:pPr>
            <w:r w:rsidRPr="00340337">
              <w:rPr>
                <w:sz w:val="24"/>
                <w:szCs w:val="24"/>
                <w:lang w:eastAsia="en-US"/>
              </w:rPr>
              <w:t>2019</w:t>
            </w:r>
          </w:p>
        </w:tc>
        <w:tc>
          <w:tcPr>
            <w:tcW w:w="1800" w:type="dxa"/>
            <w:shd w:val="clear" w:color="auto" w:fill="auto"/>
            <w:noWrap/>
            <w:vAlign w:val="bottom"/>
            <w:hideMark/>
          </w:tcPr>
          <w:p w14:paraId="7464EF26" w14:textId="77777777" w:rsidR="00354C87" w:rsidRPr="00340337" w:rsidRDefault="00354C87" w:rsidP="00356647">
            <w:pPr>
              <w:jc w:val="center"/>
              <w:rPr>
                <w:sz w:val="24"/>
                <w:szCs w:val="24"/>
                <w:lang w:eastAsia="en-US"/>
              </w:rPr>
            </w:pPr>
            <w:r w:rsidRPr="00340337">
              <w:rPr>
                <w:sz w:val="24"/>
                <w:szCs w:val="24"/>
                <w:lang w:eastAsia="en-US"/>
              </w:rPr>
              <w:t>400</w:t>
            </w:r>
          </w:p>
        </w:tc>
        <w:tc>
          <w:tcPr>
            <w:tcW w:w="1350" w:type="dxa"/>
            <w:shd w:val="clear" w:color="auto" w:fill="auto"/>
            <w:noWrap/>
            <w:vAlign w:val="bottom"/>
            <w:hideMark/>
          </w:tcPr>
          <w:p w14:paraId="5F3787DA" w14:textId="77777777" w:rsidR="00354C87" w:rsidRPr="00340337" w:rsidRDefault="00354C87" w:rsidP="00356647">
            <w:pPr>
              <w:jc w:val="center"/>
              <w:rPr>
                <w:sz w:val="24"/>
                <w:szCs w:val="24"/>
                <w:lang w:eastAsia="en-US"/>
              </w:rPr>
            </w:pPr>
            <w:r w:rsidRPr="00340337">
              <w:rPr>
                <w:sz w:val="24"/>
                <w:szCs w:val="24"/>
              </w:rPr>
              <w:t>320</w:t>
            </w:r>
          </w:p>
        </w:tc>
        <w:tc>
          <w:tcPr>
            <w:tcW w:w="1419" w:type="dxa"/>
            <w:shd w:val="clear" w:color="auto" w:fill="auto"/>
            <w:noWrap/>
            <w:vAlign w:val="bottom"/>
            <w:hideMark/>
          </w:tcPr>
          <w:p w14:paraId="7063AA8E" w14:textId="77777777" w:rsidR="00354C87" w:rsidRPr="00340337" w:rsidRDefault="00354C87" w:rsidP="00356647">
            <w:pPr>
              <w:jc w:val="center"/>
              <w:rPr>
                <w:sz w:val="24"/>
                <w:szCs w:val="24"/>
                <w:lang w:eastAsia="en-US"/>
              </w:rPr>
            </w:pPr>
            <w:r w:rsidRPr="00340337">
              <w:rPr>
                <w:sz w:val="24"/>
                <w:szCs w:val="24"/>
              </w:rPr>
              <w:t>80</w:t>
            </w:r>
          </w:p>
        </w:tc>
      </w:tr>
      <w:tr w:rsidR="00354C87" w:rsidRPr="00340337" w14:paraId="3DF21FCD" w14:textId="77777777" w:rsidTr="00356647">
        <w:trPr>
          <w:trHeight w:val="255"/>
          <w:jc w:val="center"/>
        </w:trPr>
        <w:tc>
          <w:tcPr>
            <w:tcW w:w="1805" w:type="dxa"/>
            <w:shd w:val="clear" w:color="auto" w:fill="auto"/>
            <w:noWrap/>
            <w:vAlign w:val="bottom"/>
            <w:hideMark/>
          </w:tcPr>
          <w:p w14:paraId="366CB63C" w14:textId="77777777" w:rsidR="00354C87" w:rsidRPr="00340337" w:rsidRDefault="00354C87" w:rsidP="00356647">
            <w:pPr>
              <w:jc w:val="center"/>
              <w:rPr>
                <w:sz w:val="24"/>
                <w:szCs w:val="24"/>
                <w:lang w:eastAsia="en-US"/>
              </w:rPr>
            </w:pPr>
            <w:r w:rsidRPr="00340337">
              <w:rPr>
                <w:sz w:val="24"/>
                <w:szCs w:val="24"/>
                <w:lang w:eastAsia="en-US"/>
              </w:rPr>
              <w:t>2020</w:t>
            </w:r>
          </w:p>
        </w:tc>
        <w:tc>
          <w:tcPr>
            <w:tcW w:w="1800" w:type="dxa"/>
            <w:shd w:val="clear" w:color="auto" w:fill="auto"/>
            <w:noWrap/>
            <w:vAlign w:val="bottom"/>
            <w:hideMark/>
          </w:tcPr>
          <w:p w14:paraId="0397FB8F" w14:textId="77777777" w:rsidR="00354C87" w:rsidRPr="00340337" w:rsidRDefault="00354C87" w:rsidP="00356647">
            <w:pPr>
              <w:jc w:val="center"/>
              <w:rPr>
                <w:sz w:val="24"/>
                <w:szCs w:val="24"/>
                <w:lang w:eastAsia="en-US"/>
              </w:rPr>
            </w:pPr>
            <w:r w:rsidRPr="00340337">
              <w:rPr>
                <w:sz w:val="24"/>
                <w:szCs w:val="24"/>
                <w:lang w:eastAsia="en-US"/>
              </w:rPr>
              <w:t>500</w:t>
            </w:r>
          </w:p>
        </w:tc>
        <w:tc>
          <w:tcPr>
            <w:tcW w:w="1350" w:type="dxa"/>
            <w:shd w:val="clear" w:color="auto" w:fill="auto"/>
            <w:noWrap/>
            <w:vAlign w:val="bottom"/>
            <w:hideMark/>
          </w:tcPr>
          <w:p w14:paraId="789A55AB" w14:textId="77777777" w:rsidR="00354C87" w:rsidRPr="00340337" w:rsidRDefault="00354C87" w:rsidP="00356647">
            <w:pPr>
              <w:jc w:val="center"/>
              <w:rPr>
                <w:sz w:val="24"/>
                <w:szCs w:val="24"/>
                <w:lang w:eastAsia="en-US"/>
              </w:rPr>
            </w:pPr>
            <w:r w:rsidRPr="00340337">
              <w:rPr>
                <w:sz w:val="24"/>
                <w:szCs w:val="24"/>
              </w:rPr>
              <w:t>350</w:t>
            </w:r>
          </w:p>
        </w:tc>
        <w:tc>
          <w:tcPr>
            <w:tcW w:w="1419" w:type="dxa"/>
            <w:shd w:val="clear" w:color="auto" w:fill="auto"/>
            <w:noWrap/>
            <w:vAlign w:val="bottom"/>
            <w:hideMark/>
          </w:tcPr>
          <w:p w14:paraId="53D56E37" w14:textId="77777777" w:rsidR="00354C87" w:rsidRPr="00340337" w:rsidRDefault="00354C87" w:rsidP="00356647">
            <w:pPr>
              <w:jc w:val="center"/>
              <w:rPr>
                <w:sz w:val="24"/>
                <w:szCs w:val="24"/>
                <w:lang w:eastAsia="en-US"/>
              </w:rPr>
            </w:pPr>
            <w:r w:rsidRPr="00340337">
              <w:rPr>
                <w:sz w:val="24"/>
                <w:szCs w:val="24"/>
              </w:rPr>
              <w:t>150</w:t>
            </w:r>
          </w:p>
        </w:tc>
      </w:tr>
      <w:tr w:rsidR="00354C87" w:rsidRPr="00340337" w14:paraId="0F33B20B" w14:textId="77777777" w:rsidTr="00356647">
        <w:trPr>
          <w:trHeight w:val="255"/>
          <w:jc w:val="center"/>
        </w:trPr>
        <w:tc>
          <w:tcPr>
            <w:tcW w:w="1805" w:type="dxa"/>
            <w:shd w:val="clear" w:color="auto" w:fill="auto"/>
            <w:noWrap/>
            <w:vAlign w:val="bottom"/>
            <w:hideMark/>
          </w:tcPr>
          <w:p w14:paraId="0CBAE3ED" w14:textId="77777777" w:rsidR="00354C87" w:rsidRPr="00340337" w:rsidRDefault="00354C87" w:rsidP="00356647">
            <w:pPr>
              <w:jc w:val="center"/>
              <w:rPr>
                <w:sz w:val="24"/>
                <w:szCs w:val="24"/>
                <w:lang w:eastAsia="en-US"/>
              </w:rPr>
            </w:pPr>
            <w:r w:rsidRPr="00340337">
              <w:rPr>
                <w:sz w:val="24"/>
                <w:szCs w:val="24"/>
                <w:lang w:eastAsia="en-US"/>
              </w:rPr>
              <w:t>2021</w:t>
            </w:r>
          </w:p>
        </w:tc>
        <w:tc>
          <w:tcPr>
            <w:tcW w:w="1800" w:type="dxa"/>
            <w:shd w:val="clear" w:color="auto" w:fill="auto"/>
            <w:noWrap/>
            <w:vAlign w:val="bottom"/>
            <w:hideMark/>
          </w:tcPr>
          <w:p w14:paraId="78C6B683" w14:textId="77777777" w:rsidR="00354C87" w:rsidRPr="00340337" w:rsidRDefault="00354C87" w:rsidP="00356647">
            <w:pPr>
              <w:jc w:val="center"/>
              <w:rPr>
                <w:sz w:val="24"/>
                <w:szCs w:val="24"/>
                <w:lang w:eastAsia="en-US"/>
              </w:rPr>
            </w:pPr>
            <w:r w:rsidRPr="00340337">
              <w:rPr>
                <w:sz w:val="24"/>
                <w:szCs w:val="24"/>
                <w:lang w:eastAsia="en-US"/>
              </w:rPr>
              <w:t>700</w:t>
            </w:r>
          </w:p>
        </w:tc>
        <w:tc>
          <w:tcPr>
            <w:tcW w:w="1350" w:type="dxa"/>
            <w:shd w:val="clear" w:color="auto" w:fill="auto"/>
            <w:noWrap/>
            <w:vAlign w:val="bottom"/>
            <w:hideMark/>
          </w:tcPr>
          <w:p w14:paraId="7A54C15D" w14:textId="77777777" w:rsidR="00354C87" w:rsidRPr="00340337" w:rsidRDefault="00354C87" w:rsidP="00356647">
            <w:pPr>
              <w:jc w:val="center"/>
              <w:rPr>
                <w:sz w:val="24"/>
                <w:szCs w:val="24"/>
                <w:lang w:eastAsia="en-US"/>
              </w:rPr>
            </w:pPr>
            <w:r w:rsidRPr="00340337">
              <w:rPr>
                <w:sz w:val="24"/>
                <w:szCs w:val="24"/>
              </w:rPr>
              <w:t>455</w:t>
            </w:r>
          </w:p>
        </w:tc>
        <w:tc>
          <w:tcPr>
            <w:tcW w:w="1419" w:type="dxa"/>
            <w:shd w:val="clear" w:color="auto" w:fill="auto"/>
            <w:noWrap/>
            <w:vAlign w:val="bottom"/>
            <w:hideMark/>
          </w:tcPr>
          <w:p w14:paraId="208AFDB4" w14:textId="77777777" w:rsidR="00354C87" w:rsidRPr="00340337" w:rsidRDefault="00354C87" w:rsidP="00356647">
            <w:pPr>
              <w:jc w:val="center"/>
              <w:rPr>
                <w:sz w:val="24"/>
                <w:szCs w:val="24"/>
                <w:lang w:eastAsia="en-US"/>
              </w:rPr>
            </w:pPr>
            <w:r w:rsidRPr="00340337">
              <w:rPr>
                <w:sz w:val="24"/>
                <w:szCs w:val="24"/>
              </w:rPr>
              <w:t>245</w:t>
            </w:r>
          </w:p>
        </w:tc>
      </w:tr>
      <w:tr w:rsidR="00354C87" w:rsidRPr="00340337" w14:paraId="63430059" w14:textId="77777777" w:rsidTr="00356647">
        <w:trPr>
          <w:trHeight w:val="255"/>
          <w:jc w:val="center"/>
        </w:trPr>
        <w:tc>
          <w:tcPr>
            <w:tcW w:w="1805" w:type="dxa"/>
            <w:shd w:val="clear" w:color="auto" w:fill="auto"/>
            <w:noWrap/>
            <w:vAlign w:val="bottom"/>
            <w:hideMark/>
          </w:tcPr>
          <w:p w14:paraId="4D4206B1" w14:textId="77777777" w:rsidR="00354C87" w:rsidRPr="00340337" w:rsidRDefault="00354C87" w:rsidP="00356647">
            <w:pPr>
              <w:jc w:val="center"/>
              <w:rPr>
                <w:sz w:val="24"/>
                <w:szCs w:val="24"/>
                <w:lang w:eastAsia="en-US"/>
              </w:rPr>
            </w:pPr>
            <w:r w:rsidRPr="00340337">
              <w:rPr>
                <w:sz w:val="24"/>
                <w:szCs w:val="24"/>
                <w:lang w:eastAsia="en-US"/>
              </w:rPr>
              <w:t>2022</w:t>
            </w:r>
          </w:p>
        </w:tc>
        <w:tc>
          <w:tcPr>
            <w:tcW w:w="1800" w:type="dxa"/>
            <w:shd w:val="clear" w:color="auto" w:fill="auto"/>
            <w:noWrap/>
            <w:vAlign w:val="bottom"/>
            <w:hideMark/>
          </w:tcPr>
          <w:p w14:paraId="7907A511" w14:textId="77777777" w:rsidR="00354C87" w:rsidRPr="00340337" w:rsidRDefault="00354C87" w:rsidP="00356647">
            <w:pPr>
              <w:jc w:val="center"/>
              <w:rPr>
                <w:sz w:val="24"/>
                <w:szCs w:val="24"/>
                <w:lang w:eastAsia="en-US"/>
              </w:rPr>
            </w:pPr>
            <w:r w:rsidRPr="00340337">
              <w:rPr>
                <w:sz w:val="24"/>
                <w:szCs w:val="24"/>
                <w:lang w:eastAsia="en-US"/>
              </w:rPr>
              <w:t>1000</w:t>
            </w:r>
          </w:p>
        </w:tc>
        <w:tc>
          <w:tcPr>
            <w:tcW w:w="1350" w:type="dxa"/>
            <w:shd w:val="clear" w:color="auto" w:fill="auto"/>
            <w:noWrap/>
            <w:vAlign w:val="bottom"/>
            <w:hideMark/>
          </w:tcPr>
          <w:p w14:paraId="3554652D" w14:textId="77777777" w:rsidR="00354C87" w:rsidRPr="00340337" w:rsidRDefault="00354C87" w:rsidP="00356647">
            <w:pPr>
              <w:jc w:val="center"/>
              <w:rPr>
                <w:sz w:val="24"/>
                <w:szCs w:val="24"/>
                <w:lang w:eastAsia="en-US"/>
              </w:rPr>
            </w:pPr>
            <w:r w:rsidRPr="00340337">
              <w:rPr>
                <w:sz w:val="24"/>
                <w:szCs w:val="24"/>
              </w:rPr>
              <w:t>650</w:t>
            </w:r>
          </w:p>
        </w:tc>
        <w:tc>
          <w:tcPr>
            <w:tcW w:w="1419" w:type="dxa"/>
            <w:shd w:val="clear" w:color="auto" w:fill="auto"/>
            <w:noWrap/>
            <w:vAlign w:val="bottom"/>
            <w:hideMark/>
          </w:tcPr>
          <w:p w14:paraId="01BA4DB0" w14:textId="77777777" w:rsidR="00354C87" w:rsidRPr="00340337" w:rsidRDefault="00354C87" w:rsidP="00356647">
            <w:pPr>
              <w:jc w:val="center"/>
              <w:rPr>
                <w:sz w:val="24"/>
                <w:szCs w:val="24"/>
                <w:lang w:eastAsia="en-US"/>
              </w:rPr>
            </w:pPr>
            <w:r w:rsidRPr="00340337">
              <w:rPr>
                <w:sz w:val="24"/>
                <w:szCs w:val="24"/>
              </w:rPr>
              <w:t>350</w:t>
            </w:r>
          </w:p>
        </w:tc>
      </w:tr>
      <w:tr w:rsidR="00354C87" w:rsidRPr="00340337" w14:paraId="45CC6573" w14:textId="77777777" w:rsidTr="00356647">
        <w:trPr>
          <w:trHeight w:val="255"/>
          <w:jc w:val="center"/>
        </w:trPr>
        <w:tc>
          <w:tcPr>
            <w:tcW w:w="1805" w:type="dxa"/>
            <w:shd w:val="clear" w:color="auto" w:fill="auto"/>
            <w:noWrap/>
            <w:vAlign w:val="bottom"/>
            <w:hideMark/>
          </w:tcPr>
          <w:p w14:paraId="1C714502" w14:textId="77777777" w:rsidR="00354C87" w:rsidRPr="00340337" w:rsidRDefault="00354C87" w:rsidP="00356647">
            <w:pPr>
              <w:jc w:val="center"/>
              <w:rPr>
                <w:sz w:val="24"/>
                <w:szCs w:val="24"/>
                <w:lang w:eastAsia="en-US"/>
              </w:rPr>
            </w:pPr>
            <w:r w:rsidRPr="00340337">
              <w:rPr>
                <w:sz w:val="24"/>
                <w:szCs w:val="24"/>
                <w:lang w:eastAsia="en-US"/>
              </w:rPr>
              <w:t>2023</w:t>
            </w:r>
          </w:p>
        </w:tc>
        <w:tc>
          <w:tcPr>
            <w:tcW w:w="1800" w:type="dxa"/>
            <w:shd w:val="clear" w:color="auto" w:fill="auto"/>
            <w:noWrap/>
            <w:vAlign w:val="bottom"/>
            <w:hideMark/>
          </w:tcPr>
          <w:p w14:paraId="40710CB5" w14:textId="77777777" w:rsidR="00354C87" w:rsidRPr="00340337" w:rsidRDefault="00354C87" w:rsidP="00356647">
            <w:pPr>
              <w:jc w:val="center"/>
              <w:rPr>
                <w:sz w:val="24"/>
                <w:szCs w:val="24"/>
                <w:lang w:eastAsia="en-US"/>
              </w:rPr>
            </w:pPr>
            <w:r w:rsidRPr="00340337">
              <w:rPr>
                <w:sz w:val="24"/>
                <w:szCs w:val="24"/>
                <w:lang w:eastAsia="en-US"/>
              </w:rPr>
              <w:t>1500</w:t>
            </w:r>
          </w:p>
        </w:tc>
        <w:tc>
          <w:tcPr>
            <w:tcW w:w="1350" w:type="dxa"/>
            <w:shd w:val="clear" w:color="auto" w:fill="auto"/>
            <w:noWrap/>
            <w:vAlign w:val="bottom"/>
            <w:hideMark/>
          </w:tcPr>
          <w:p w14:paraId="4C015152" w14:textId="77777777" w:rsidR="00354C87" w:rsidRPr="00340337" w:rsidRDefault="00354C87" w:rsidP="00356647">
            <w:pPr>
              <w:jc w:val="center"/>
              <w:rPr>
                <w:sz w:val="24"/>
                <w:szCs w:val="24"/>
                <w:lang w:eastAsia="en-US"/>
              </w:rPr>
            </w:pPr>
            <w:r w:rsidRPr="00340337">
              <w:rPr>
                <w:sz w:val="24"/>
                <w:szCs w:val="24"/>
              </w:rPr>
              <w:t>900</w:t>
            </w:r>
          </w:p>
        </w:tc>
        <w:tc>
          <w:tcPr>
            <w:tcW w:w="1419" w:type="dxa"/>
            <w:shd w:val="clear" w:color="auto" w:fill="auto"/>
            <w:noWrap/>
            <w:vAlign w:val="bottom"/>
            <w:hideMark/>
          </w:tcPr>
          <w:p w14:paraId="6999A143" w14:textId="77777777" w:rsidR="00354C87" w:rsidRPr="00340337" w:rsidRDefault="00354C87" w:rsidP="00356647">
            <w:pPr>
              <w:jc w:val="center"/>
              <w:rPr>
                <w:sz w:val="24"/>
                <w:szCs w:val="24"/>
                <w:lang w:eastAsia="en-US"/>
              </w:rPr>
            </w:pPr>
            <w:r w:rsidRPr="00340337">
              <w:rPr>
                <w:sz w:val="24"/>
                <w:szCs w:val="24"/>
              </w:rPr>
              <w:t>600</w:t>
            </w:r>
          </w:p>
        </w:tc>
      </w:tr>
      <w:tr w:rsidR="00354C87" w:rsidRPr="00340337" w14:paraId="6CFB7A20" w14:textId="77777777" w:rsidTr="00356647">
        <w:trPr>
          <w:trHeight w:val="255"/>
          <w:jc w:val="center"/>
        </w:trPr>
        <w:tc>
          <w:tcPr>
            <w:tcW w:w="1805" w:type="dxa"/>
            <w:shd w:val="clear" w:color="auto" w:fill="auto"/>
            <w:noWrap/>
            <w:vAlign w:val="bottom"/>
            <w:hideMark/>
          </w:tcPr>
          <w:p w14:paraId="4D5CCC03" w14:textId="77777777" w:rsidR="00354C87" w:rsidRPr="00340337" w:rsidRDefault="00354C87" w:rsidP="00356647">
            <w:pPr>
              <w:jc w:val="center"/>
              <w:rPr>
                <w:sz w:val="24"/>
                <w:szCs w:val="24"/>
                <w:lang w:eastAsia="en-US"/>
              </w:rPr>
            </w:pPr>
            <w:r w:rsidRPr="00340337">
              <w:rPr>
                <w:sz w:val="24"/>
                <w:szCs w:val="24"/>
                <w:lang w:eastAsia="en-US"/>
              </w:rPr>
              <w:t>2024</w:t>
            </w:r>
          </w:p>
        </w:tc>
        <w:tc>
          <w:tcPr>
            <w:tcW w:w="1800" w:type="dxa"/>
            <w:shd w:val="clear" w:color="auto" w:fill="auto"/>
            <w:noWrap/>
            <w:vAlign w:val="bottom"/>
            <w:hideMark/>
          </w:tcPr>
          <w:p w14:paraId="7C0B63C1" w14:textId="77777777" w:rsidR="00354C87" w:rsidRPr="00340337" w:rsidRDefault="00354C87" w:rsidP="00356647">
            <w:pPr>
              <w:jc w:val="center"/>
              <w:rPr>
                <w:sz w:val="24"/>
                <w:szCs w:val="24"/>
                <w:lang w:eastAsia="en-US"/>
              </w:rPr>
            </w:pPr>
            <w:r w:rsidRPr="00340337">
              <w:rPr>
                <w:sz w:val="24"/>
                <w:szCs w:val="24"/>
                <w:lang w:eastAsia="en-US"/>
              </w:rPr>
              <w:t>1900</w:t>
            </w:r>
          </w:p>
        </w:tc>
        <w:tc>
          <w:tcPr>
            <w:tcW w:w="1350" w:type="dxa"/>
            <w:shd w:val="clear" w:color="auto" w:fill="auto"/>
            <w:noWrap/>
            <w:vAlign w:val="bottom"/>
            <w:hideMark/>
          </w:tcPr>
          <w:p w14:paraId="5BFEED0E" w14:textId="77777777" w:rsidR="00354C87" w:rsidRPr="00340337" w:rsidRDefault="00354C87" w:rsidP="00356647">
            <w:pPr>
              <w:jc w:val="center"/>
              <w:rPr>
                <w:sz w:val="24"/>
                <w:szCs w:val="24"/>
                <w:lang w:eastAsia="en-US"/>
              </w:rPr>
            </w:pPr>
            <w:r w:rsidRPr="00340337">
              <w:rPr>
                <w:sz w:val="24"/>
                <w:szCs w:val="24"/>
              </w:rPr>
              <w:t>1045</w:t>
            </w:r>
          </w:p>
        </w:tc>
        <w:tc>
          <w:tcPr>
            <w:tcW w:w="1419" w:type="dxa"/>
            <w:shd w:val="clear" w:color="auto" w:fill="auto"/>
            <w:noWrap/>
            <w:vAlign w:val="bottom"/>
            <w:hideMark/>
          </w:tcPr>
          <w:p w14:paraId="5DD91B5C" w14:textId="77777777" w:rsidR="00354C87" w:rsidRPr="00340337" w:rsidRDefault="00354C87" w:rsidP="00356647">
            <w:pPr>
              <w:jc w:val="center"/>
              <w:rPr>
                <w:sz w:val="24"/>
                <w:szCs w:val="24"/>
                <w:lang w:eastAsia="en-US"/>
              </w:rPr>
            </w:pPr>
            <w:r w:rsidRPr="00340337">
              <w:rPr>
                <w:sz w:val="24"/>
                <w:szCs w:val="24"/>
              </w:rPr>
              <w:t>855</w:t>
            </w:r>
          </w:p>
        </w:tc>
      </w:tr>
      <w:tr w:rsidR="00354C87" w:rsidRPr="00340337" w14:paraId="4BD5B269" w14:textId="77777777" w:rsidTr="00356647">
        <w:trPr>
          <w:trHeight w:val="255"/>
          <w:jc w:val="center"/>
        </w:trPr>
        <w:tc>
          <w:tcPr>
            <w:tcW w:w="1805" w:type="dxa"/>
            <w:shd w:val="clear" w:color="auto" w:fill="auto"/>
            <w:noWrap/>
            <w:vAlign w:val="bottom"/>
            <w:hideMark/>
          </w:tcPr>
          <w:p w14:paraId="06891870" w14:textId="77777777" w:rsidR="00354C87" w:rsidRPr="00340337" w:rsidRDefault="00354C87" w:rsidP="00356647">
            <w:pPr>
              <w:jc w:val="center"/>
              <w:rPr>
                <w:sz w:val="24"/>
                <w:szCs w:val="24"/>
                <w:lang w:eastAsia="en-US"/>
              </w:rPr>
            </w:pPr>
            <w:r w:rsidRPr="00340337">
              <w:rPr>
                <w:sz w:val="24"/>
                <w:szCs w:val="24"/>
                <w:lang w:eastAsia="en-US"/>
              </w:rPr>
              <w:t>2025</w:t>
            </w:r>
          </w:p>
        </w:tc>
        <w:tc>
          <w:tcPr>
            <w:tcW w:w="1800" w:type="dxa"/>
            <w:shd w:val="clear" w:color="auto" w:fill="auto"/>
            <w:noWrap/>
            <w:vAlign w:val="bottom"/>
            <w:hideMark/>
          </w:tcPr>
          <w:p w14:paraId="547B2913" w14:textId="77777777" w:rsidR="00354C87" w:rsidRPr="00340337" w:rsidRDefault="00354C87" w:rsidP="00356647">
            <w:pPr>
              <w:jc w:val="center"/>
              <w:rPr>
                <w:sz w:val="24"/>
                <w:szCs w:val="24"/>
                <w:lang w:eastAsia="en-US"/>
              </w:rPr>
            </w:pPr>
            <w:r w:rsidRPr="00340337">
              <w:rPr>
                <w:sz w:val="24"/>
                <w:szCs w:val="24"/>
                <w:lang w:eastAsia="en-US"/>
              </w:rPr>
              <w:t>2100</w:t>
            </w:r>
          </w:p>
        </w:tc>
        <w:tc>
          <w:tcPr>
            <w:tcW w:w="1350" w:type="dxa"/>
            <w:shd w:val="clear" w:color="auto" w:fill="auto"/>
            <w:noWrap/>
            <w:vAlign w:val="bottom"/>
            <w:hideMark/>
          </w:tcPr>
          <w:p w14:paraId="13E39413" w14:textId="77777777" w:rsidR="00354C87" w:rsidRPr="00340337" w:rsidRDefault="00354C87" w:rsidP="00356647">
            <w:pPr>
              <w:jc w:val="center"/>
              <w:rPr>
                <w:sz w:val="24"/>
                <w:szCs w:val="24"/>
                <w:lang w:eastAsia="en-US"/>
              </w:rPr>
            </w:pPr>
            <w:r w:rsidRPr="00340337">
              <w:rPr>
                <w:sz w:val="24"/>
                <w:szCs w:val="24"/>
              </w:rPr>
              <w:t>1050</w:t>
            </w:r>
          </w:p>
        </w:tc>
        <w:tc>
          <w:tcPr>
            <w:tcW w:w="1419" w:type="dxa"/>
            <w:shd w:val="clear" w:color="auto" w:fill="auto"/>
            <w:noWrap/>
            <w:vAlign w:val="bottom"/>
            <w:hideMark/>
          </w:tcPr>
          <w:p w14:paraId="1CB44C09" w14:textId="77777777" w:rsidR="00354C87" w:rsidRPr="00340337" w:rsidRDefault="00354C87" w:rsidP="00356647">
            <w:pPr>
              <w:jc w:val="center"/>
              <w:rPr>
                <w:sz w:val="24"/>
                <w:szCs w:val="24"/>
                <w:lang w:eastAsia="en-US"/>
              </w:rPr>
            </w:pPr>
            <w:r w:rsidRPr="00340337">
              <w:rPr>
                <w:sz w:val="24"/>
                <w:szCs w:val="24"/>
              </w:rPr>
              <w:t>1050</w:t>
            </w:r>
          </w:p>
        </w:tc>
      </w:tr>
      <w:tr w:rsidR="00354C87" w:rsidRPr="00340337" w14:paraId="266F28C3" w14:textId="77777777" w:rsidTr="00356647">
        <w:trPr>
          <w:trHeight w:val="255"/>
          <w:jc w:val="center"/>
        </w:trPr>
        <w:tc>
          <w:tcPr>
            <w:tcW w:w="1805" w:type="dxa"/>
            <w:shd w:val="clear" w:color="auto" w:fill="auto"/>
            <w:noWrap/>
            <w:vAlign w:val="bottom"/>
            <w:hideMark/>
          </w:tcPr>
          <w:p w14:paraId="602A4860" w14:textId="77777777" w:rsidR="00354C87" w:rsidRPr="00340337" w:rsidRDefault="00354C87" w:rsidP="00356647">
            <w:pPr>
              <w:jc w:val="center"/>
              <w:rPr>
                <w:sz w:val="24"/>
                <w:szCs w:val="24"/>
                <w:lang w:eastAsia="en-US"/>
              </w:rPr>
            </w:pPr>
            <w:r w:rsidRPr="00340337">
              <w:rPr>
                <w:sz w:val="24"/>
                <w:szCs w:val="24"/>
                <w:lang w:eastAsia="en-US"/>
              </w:rPr>
              <w:t>2026</w:t>
            </w:r>
          </w:p>
        </w:tc>
        <w:tc>
          <w:tcPr>
            <w:tcW w:w="1800" w:type="dxa"/>
            <w:shd w:val="clear" w:color="auto" w:fill="auto"/>
            <w:noWrap/>
            <w:vAlign w:val="bottom"/>
            <w:hideMark/>
          </w:tcPr>
          <w:p w14:paraId="512769BC" w14:textId="77777777" w:rsidR="00354C87" w:rsidRPr="00340337" w:rsidRDefault="00354C87" w:rsidP="00356647">
            <w:pPr>
              <w:jc w:val="center"/>
              <w:rPr>
                <w:sz w:val="24"/>
                <w:szCs w:val="24"/>
                <w:lang w:eastAsia="en-US"/>
              </w:rPr>
            </w:pPr>
            <w:r w:rsidRPr="00340337">
              <w:rPr>
                <w:sz w:val="24"/>
                <w:szCs w:val="24"/>
                <w:lang w:eastAsia="en-US"/>
              </w:rPr>
              <w:t>2200</w:t>
            </w:r>
          </w:p>
        </w:tc>
        <w:tc>
          <w:tcPr>
            <w:tcW w:w="1350" w:type="dxa"/>
            <w:shd w:val="clear" w:color="auto" w:fill="auto"/>
            <w:noWrap/>
            <w:vAlign w:val="bottom"/>
            <w:hideMark/>
          </w:tcPr>
          <w:p w14:paraId="7010297C" w14:textId="77777777" w:rsidR="00354C87" w:rsidRPr="00340337" w:rsidRDefault="00354C87" w:rsidP="00356647">
            <w:pPr>
              <w:jc w:val="center"/>
              <w:rPr>
                <w:sz w:val="24"/>
                <w:szCs w:val="24"/>
                <w:lang w:eastAsia="en-US"/>
              </w:rPr>
            </w:pPr>
            <w:r w:rsidRPr="00340337">
              <w:rPr>
                <w:sz w:val="24"/>
                <w:szCs w:val="24"/>
              </w:rPr>
              <w:t>990</w:t>
            </w:r>
          </w:p>
        </w:tc>
        <w:tc>
          <w:tcPr>
            <w:tcW w:w="1419" w:type="dxa"/>
            <w:shd w:val="clear" w:color="auto" w:fill="auto"/>
            <w:noWrap/>
            <w:vAlign w:val="bottom"/>
            <w:hideMark/>
          </w:tcPr>
          <w:p w14:paraId="3714723C" w14:textId="77777777" w:rsidR="00354C87" w:rsidRPr="00340337" w:rsidRDefault="00354C87" w:rsidP="00356647">
            <w:pPr>
              <w:jc w:val="center"/>
              <w:rPr>
                <w:sz w:val="24"/>
                <w:szCs w:val="24"/>
                <w:lang w:eastAsia="en-US"/>
              </w:rPr>
            </w:pPr>
            <w:r w:rsidRPr="00340337">
              <w:rPr>
                <w:sz w:val="24"/>
                <w:szCs w:val="24"/>
              </w:rPr>
              <w:t>1210</w:t>
            </w:r>
          </w:p>
        </w:tc>
      </w:tr>
      <w:tr w:rsidR="00354C87" w:rsidRPr="00340337" w14:paraId="41BAA80B" w14:textId="77777777" w:rsidTr="00356647">
        <w:trPr>
          <w:trHeight w:val="255"/>
          <w:jc w:val="center"/>
        </w:trPr>
        <w:tc>
          <w:tcPr>
            <w:tcW w:w="1805" w:type="dxa"/>
            <w:shd w:val="clear" w:color="auto" w:fill="auto"/>
            <w:noWrap/>
            <w:vAlign w:val="bottom"/>
            <w:hideMark/>
          </w:tcPr>
          <w:p w14:paraId="117B86D3" w14:textId="77777777" w:rsidR="00354C87" w:rsidRPr="00340337" w:rsidRDefault="00354C87" w:rsidP="00356647">
            <w:pPr>
              <w:jc w:val="center"/>
              <w:rPr>
                <w:sz w:val="24"/>
                <w:szCs w:val="24"/>
                <w:lang w:eastAsia="en-US"/>
              </w:rPr>
            </w:pPr>
            <w:r w:rsidRPr="00340337">
              <w:rPr>
                <w:sz w:val="24"/>
                <w:szCs w:val="24"/>
                <w:lang w:eastAsia="en-US"/>
              </w:rPr>
              <w:t>2027</w:t>
            </w:r>
          </w:p>
        </w:tc>
        <w:tc>
          <w:tcPr>
            <w:tcW w:w="1800" w:type="dxa"/>
            <w:shd w:val="clear" w:color="auto" w:fill="auto"/>
            <w:noWrap/>
            <w:vAlign w:val="bottom"/>
            <w:hideMark/>
          </w:tcPr>
          <w:p w14:paraId="4AF01927" w14:textId="77777777" w:rsidR="00354C87" w:rsidRPr="00340337" w:rsidRDefault="00354C87" w:rsidP="00356647">
            <w:pPr>
              <w:jc w:val="center"/>
              <w:rPr>
                <w:sz w:val="24"/>
                <w:szCs w:val="24"/>
                <w:lang w:eastAsia="en-US"/>
              </w:rPr>
            </w:pPr>
            <w:r w:rsidRPr="00340337">
              <w:rPr>
                <w:sz w:val="24"/>
                <w:szCs w:val="24"/>
                <w:lang w:eastAsia="en-US"/>
              </w:rPr>
              <w:t>2300</w:t>
            </w:r>
          </w:p>
        </w:tc>
        <w:tc>
          <w:tcPr>
            <w:tcW w:w="1350" w:type="dxa"/>
            <w:shd w:val="clear" w:color="auto" w:fill="auto"/>
            <w:noWrap/>
            <w:vAlign w:val="bottom"/>
            <w:hideMark/>
          </w:tcPr>
          <w:p w14:paraId="7801D876" w14:textId="77777777" w:rsidR="00354C87" w:rsidRPr="00340337" w:rsidRDefault="00354C87" w:rsidP="00356647">
            <w:pPr>
              <w:jc w:val="center"/>
              <w:rPr>
                <w:sz w:val="24"/>
                <w:szCs w:val="24"/>
                <w:lang w:eastAsia="en-US"/>
              </w:rPr>
            </w:pPr>
            <w:r w:rsidRPr="00340337">
              <w:rPr>
                <w:sz w:val="24"/>
                <w:szCs w:val="24"/>
              </w:rPr>
              <w:t>1035</w:t>
            </w:r>
          </w:p>
        </w:tc>
        <w:tc>
          <w:tcPr>
            <w:tcW w:w="1419" w:type="dxa"/>
            <w:shd w:val="clear" w:color="auto" w:fill="auto"/>
            <w:noWrap/>
            <w:vAlign w:val="bottom"/>
            <w:hideMark/>
          </w:tcPr>
          <w:p w14:paraId="79DA2B43" w14:textId="77777777" w:rsidR="00354C87" w:rsidRPr="00340337" w:rsidRDefault="00354C87" w:rsidP="00356647">
            <w:pPr>
              <w:jc w:val="center"/>
              <w:rPr>
                <w:sz w:val="24"/>
                <w:szCs w:val="24"/>
                <w:lang w:eastAsia="en-US"/>
              </w:rPr>
            </w:pPr>
            <w:r w:rsidRPr="00340337">
              <w:rPr>
                <w:sz w:val="24"/>
                <w:szCs w:val="24"/>
              </w:rPr>
              <w:t>1265</w:t>
            </w:r>
          </w:p>
        </w:tc>
      </w:tr>
      <w:tr w:rsidR="00354C87" w:rsidRPr="00340337" w14:paraId="31CA9BEE" w14:textId="77777777" w:rsidTr="00356647">
        <w:trPr>
          <w:trHeight w:val="255"/>
          <w:jc w:val="center"/>
        </w:trPr>
        <w:tc>
          <w:tcPr>
            <w:tcW w:w="1805" w:type="dxa"/>
            <w:shd w:val="clear" w:color="auto" w:fill="auto"/>
            <w:noWrap/>
            <w:vAlign w:val="bottom"/>
            <w:hideMark/>
          </w:tcPr>
          <w:p w14:paraId="30CD8DD5" w14:textId="77777777" w:rsidR="00354C87" w:rsidRPr="00340337" w:rsidRDefault="00354C87" w:rsidP="00356647">
            <w:pPr>
              <w:jc w:val="center"/>
              <w:rPr>
                <w:sz w:val="24"/>
                <w:szCs w:val="24"/>
                <w:lang w:eastAsia="en-US"/>
              </w:rPr>
            </w:pPr>
            <w:r w:rsidRPr="00340337">
              <w:rPr>
                <w:sz w:val="24"/>
                <w:szCs w:val="24"/>
                <w:lang w:eastAsia="en-US"/>
              </w:rPr>
              <w:t>2028</w:t>
            </w:r>
          </w:p>
        </w:tc>
        <w:tc>
          <w:tcPr>
            <w:tcW w:w="1800" w:type="dxa"/>
            <w:shd w:val="clear" w:color="auto" w:fill="auto"/>
            <w:noWrap/>
            <w:vAlign w:val="bottom"/>
            <w:hideMark/>
          </w:tcPr>
          <w:p w14:paraId="58C6E411" w14:textId="77777777" w:rsidR="00354C87" w:rsidRPr="00340337" w:rsidRDefault="00354C87" w:rsidP="00356647">
            <w:pPr>
              <w:jc w:val="center"/>
              <w:rPr>
                <w:sz w:val="24"/>
                <w:szCs w:val="24"/>
                <w:lang w:eastAsia="en-US"/>
              </w:rPr>
            </w:pPr>
            <w:r w:rsidRPr="00340337">
              <w:rPr>
                <w:sz w:val="24"/>
                <w:szCs w:val="24"/>
                <w:lang w:eastAsia="en-US"/>
              </w:rPr>
              <w:t>2400</w:t>
            </w:r>
          </w:p>
        </w:tc>
        <w:tc>
          <w:tcPr>
            <w:tcW w:w="1350" w:type="dxa"/>
            <w:shd w:val="clear" w:color="auto" w:fill="auto"/>
            <w:noWrap/>
            <w:vAlign w:val="bottom"/>
            <w:hideMark/>
          </w:tcPr>
          <w:p w14:paraId="61284926" w14:textId="77777777" w:rsidR="00354C87" w:rsidRPr="00340337" w:rsidRDefault="00354C87" w:rsidP="00356647">
            <w:pPr>
              <w:jc w:val="center"/>
              <w:rPr>
                <w:sz w:val="24"/>
                <w:szCs w:val="24"/>
                <w:lang w:eastAsia="en-US"/>
              </w:rPr>
            </w:pPr>
            <w:r w:rsidRPr="00340337">
              <w:rPr>
                <w:sz w:val="24"/>
                <w:szCs w:val="24"/>
              </w:rPr>
              <w:t>1080</w:t>
            </w:r>
          </w:p>
        </w:tc>
        <w:tc>
          <w:tcPr>
            <w:tcW w:w="1419" w:type="dxa"/>
            <w:shd w:val="clear" w:color="auto" w:fill="auto"/>
            <w:noWrap/>
            <w:vAlign w:val="bottom"/>
            <w:hideMark/>
          </w:tcPr>
          <w:p w14:paraId="618B2300" w14:textId="77777777" w:rsidR="00354C87" w:rsidRPr="00340337" w:rsidRDefault="00354C87" w:rsidP="00356647">
            <w:pPr>
              <w:jc w:val="center"/>
              <w:rPr>
                <w:sz w:val="24"/>
                <w:szCs w:val="24"/>
                <w:lang w:eastAsia="en-US"/>
              </w:rPr>
            </w:pPr>
            <w:r w:rsidRPr="00340337">
              <w:rPr>
                <w:sz w:val="24"/>
                <w:szCs w:val="24"/>
              </w:rPr>
              <w:t>1320</w:t>
            </w:r>
          </w:p>
        </w:tc>
      </w:tr>
      <w:tr w:rsidR="00354C87" w:rsidRPr="00340337" w14:paraId="1C829E47" w14:textId="77777777" w:rsidTr="00356647">
        <w:trPr>
          <w:trHeight w:val="255"/>
          <w:jc w:val="center"/>
        </w:trPr>
        <w:tc>
          <w:tcPr>
            <w:tcW w:w="1805" w:type="dxa"/>
            <w:shd w:val="clear" w:color="auto" w:fill="auto"/>
            <w:noWrap/>
            <w:vAlign w:val="bottom"/>
            <w:hideMark/>
          </w:tcPr>
          <w:p w14:paraId="44CCC6A3" w14:textId="77777777" w:rsidR="00354C87" w:rsidRPr="00340337" w:rsidRDefault="00354C87" w:rsidP="00356647">
            <w:pPr>
              <w:jc w:val="center"/>
              <w:rPr>
                <w:sz w:val="24"/>
                <w:szCs w:val="24"/>
                <w:lang w:eastAsia="en-US"/>
              </w:rPr>
            </w:pPr>
            <w:r w:rsidRPr="00340337">
              <w:rPr>
                <w:sz w:val="24"/>
                <w:szCs w:val="24"/>
                <w:lang w:eastAsia="en-US"/>
              </w:rPr>
              <w:t>2029</w:t>
            </w:r>
          </w:p>
        </w:tc>
        <w:tc>
          <w:tcPr>
            <w:tcW w:w="1800" w:type="dxa"/>
            <w:shd w:val="clear" w:color="auto" w:fill="auto"/>
            <w:noWrap/>
            <w:vAlign w:val="bottom"/>
            <w:hideMark/>
          </w:tcPr>
          <w:p w14:paraId="7EED387F" w14:textId="77777777" w:rsidR="00354C87" w:rsidRPr="00340337" w:rsidRDefault="00354C87" w:rsidP="00356647">
            <w:pPr>
              <w:jc w:val="center"/>
              <w:rPr>
                <w:sz w:val="24"/>
                <w:szCs w:val="24"/>
                <w:lang w:eastAsia="en-US"/>
              </w:rPr>
            </w:pPr>
            <w:r w:rsidRPr="00340337">
              <w:rPr>
                <w:sz w:val="24"/>
                <w:szCs w:val="24"/>
                <w:lang w:eastAsia="en-US"/>
              </w:rPr>
              <w:t>2500</w:t>
            </w:r>
          </w:p>
        </w:tc>
        <w:tc>
          <w:tcPr>
            <w:tcW w:w="1350" w:type="dxa"/>
            <w:shd w:val="clear" w:color="auto" w:fill="auto"/>
            <w:noWrap/>
            <w:vAlign w:val="bottom"/>
            <w:hideMark/>
          </w:tcPr>
          <w:p w14:paraId="6D9D65CE" w14:textId="77777777" w:rsidR="00354C87" w:rsidRPr="00340337" w:rsidRDefault="00354C87" w:rsidP="00356647">
            <w:pPr>
              <w:jc w:val="center"/>
              <w:rPr>
                <w:sz w:val="24"/>
                <w:szCs w:val="24"/>
                <w:lang w:eastAsia="en-US"/>
              </w:rPr>
            </w:pPr>
            <w:r w:rsidRPr="00340337">
              <w:rPr>
                <w:sz w:val="24"/>
                <w:szCs w:val="24"/>
              </w:rPr>
              <w:t>1000</w:t>
            </w:r>
          </w:p>
        </w:tc>
        <w:tc>
          <w:tcPr>
            <w:tcW w:w="1419" w:type="dxa"/>
            <w:shd w:val="clear" w:color="auto" w:fill="auto"/>
            <w:noWrap/>
            <w:vAlign w:val="bottom"/>
            <w:hideMark/>
          </w:tcPr>
          <w:p w14:paraId="4A5791D6" w14:textId="77777777" w:rsidR="00354C87" w:rsidRPr="00340337" w:rsidRDefault="00354C87" w:rsidP="00356647">
            <w:pPr>
              <w:jc w:val="center"/>
              <w:rPr>
                <w:sz w:val="24"/>
                <w:szCs w:val="24"/>
                <w:lang w:eastAsia="en-US"/>
              </w:rPr>
            </w:pPr>
            <w:r w:rsidRPr="00340337">
              <w:rPr>
                <w:sz w:val="24"/>
                <w:szCs w:val="24"/>
              </w:rPr>
              <w:t>1500</w:t>
            </w:r>
          </w:p>
        </w:tc>
      </w:tr>
      <w:tr w:rsidR="00354C87" w:rsidRPr="00340337" w14:paraId="32F27FD6" w14:textId="77777777" w:rsidTr="00356647">
        <w:trPr>
          <w:trHeight w:val="255"/>
          <w:jc w:val="center"/>
        </w:trPr>
        <w:tc>
          <w:tcPr>
            <w:tcW w:w="1805" w:type="dxa"/>
            <w:shd w:val="clear" w:color="auto" w:fill="auto"/>
            <w:noWrap/>
            <w:vAlign w:val="bottom"/>
            <w:hideMark/>
          </w:tcPr>
          <w:p w14:paraId="59FED3F9" w14:textId="77777777" w:rsidR="00354C87" w:rsidRPr="00340337" w:rsidRDefault="00354C87" w:rsidP="00356647">
            <w:pPr>
              <w:jc w:val="center"/>
              <w:rPr>
                <w:sz w:val="24"/>
                <w:szCs w:val="24"/>
                <w:lang w:eastAsia="en-US"/>
              </w:rPr>
            </w:pPr>
            <w:r w:rsidRPr="00340337">
              <w:rPr>
                <w:sz w:val="24"/>
                <w:szCs w:val="24"/>
                <w:lang w:eastAsia="en-US"/>
              </w:rPr>
              <w:t>2030</w:t>
            </w:r>
          </w:p>
        </w:tc>
        <w:tc>
          <w:tcPr>
            <w:tcW w:w="1800" w:type="dxa"/>
            <w:shd w:val="clear" w:color="auto" w:fill="auto"/>
            <w:noWrap/>
            <w:vAlign w:val="bottom"/>
            <w:hideMark/>
          </w:tcPr>
          <w:p w14:paraId="2016CA8E" w14:textId="77777777" w:rsidR="00354C87" w:rsidRPr="00340337" w:rsidRDefault="00354C87" w:rsidP="00356647">
            <w:pPr>
              <w:jc w:val="center"/>
              <w:rPr>
                <w:sz w:val="24"/>
                <w:szCs w:val="24"/>
                <w:lang w:eastAsia="en-US"/>
              </w:rPr>
            </w:pPr>
            <w:r w:rsidRPr="00340337">
              <w:rPr>
                <w:sz w:val="24"/>
                <w:szCs w:val="24"/>
                <w:lang w:eastAsia="en-US"/>
              </w:rPr>
              <w:t>2500</w:t>
            </w:r>
          </w:p>
        </w:tc>
        <w:tc>
          <w:tcPr>
            <w:tcW w:w="1350" w:type="dxa"/>
            <w:shd w:val="clear" w:color="auto" w:fill="auto"/>
            <w:noWrap/>
            <w:vAlign w:val="bottom"/>
            <w:hideMark/>
          </w:tcPr>
          <w:p w14:paraId="25656DEC" w14:textId="77777777" w:rsidR="00354C87" w:rsidRPr="00340337" w:rsidRDefault="00354C87" w:rsidP="00356647">
            <w:pPr>
              <w:jc w:val="center"/>
              <w:rPr>
                <w:sz w:val="24"/>
                <w:szCs w:val="24"/>
                <w:lang w:eastAsia="en-US"/>
              </w:rPr>
            </w:pPr>
            <w:r w:rsidRPr="00340337">
              <w:rPr>
                <w:sz w:val="24"/>
                <w:szCs w:val="24"/>
              </w:rPr>
              <w:t>1000</w:t>
            </w:r>
          </w:p>
        </w:tc>
        <w:tc>
          <w:tcPr>
            <w:tcW w:w="1419" w:type="dxa"/>
            <w:shd w:val="clear" w:color="auto" w:fill="auto"/>
            <w:noWrap/>
            <w:vAlign w:val="bottom"/>
            <w:hideMark/>
          </w:tcPr>
          <w:p w14:paraId="3F36C363" w14:textId="77777777" w:rsidR="00354C87" w:rsidRPr="00340337" w:rsidRDefault="00354C87" w:rsidP="00356647">
            <w:pPr>
              <w:jc w:val="center"/>
              <w:rPr>
                <w:sz w:val="24"/>
                <w:szCs w:val="24"/>
                <w:lang w:eastAsia="en-US"/>
              </w:rPr>
            </w:pPr>
            <w:r w:rsidRPr="00340337">
              <w:rPr>
                <w:sz w:val="24"/>
                <w:szCs w:val="24"/>
              </w:rPr>
              <w:t>1500</w:t>
            </w:r>
          </w:p>
        </w:tc>
      </w:tr>
      <w:tr w:rsidR="00354C87" w:rsidRPr="00340337" w14:paraId="43C29B4A" w14:textId="77777777" w:rsidTr="00356647">
        <w:trPr>
          <w:trHeight w:val="255"/>
          <w:jc w:val="center"/>
        </w:trPr>
        <w:tc>
          <w:tcPr>
            <w:tcW w:w="1805" w:type="dxa"/>
            <w:shd w:val="clear" w:color="auto" w:fill="auto"/>
            <w:noWrap/>
            <w:vAlign w:val="bottom"/>
            <w:hideMark/>
          </w:tcPr>
          <w:p w14:paraId="1C1F0A8A" w14:textId="77777777" w:rsidR="00354C87" w:rsidRPr="00340337" w:rsidRDefault="00354C87" w:rsidP="00356647">
            <w:pPr>
              <w:jc w:val="center"/>
              <w:rPr>
                <w:b/>
                <w:bCs/>
                <w:sz w:val="24"/>
                <w:szCs w:val="24"/>
                <w:lang w:eastAsia="en-US"/>
              </w:rPr>
            </w:pPr>
            <w:r w:rsidRPr="00340337">
              <w:rPr>
                <w:b/>
                <w:bCs/>
                <w:sz w:val="24"/>
                <w:szCs w:val="24"/>
                <w:lang w:eastAsia="en-US"/>
              </w:rPr>
              <w:t>Viso</w:t>
            </w:r>
          </w:p>
        </w:tc>
        <w:tc>
          <w:tcPr>
            <w:tcW w:w="1800" w:type="dxa"/>
            <w:shd w:val="clear" w:color="auto" w:fill="auto"/>
            <w:noWrap/>
            <w:vAlign w:val="bottom"/>
            <w:hideMark/>
          </w:tcPr>
          <w:p w14:paraId="6DE402C8" w14:textId="77777777" w:rsidR="00354C87" w:rsidRPr="00340337" w:rsidRDefault="00354C87" w:rsidP="00356647">
            <w:pPr>
              <w:jc w:val="center"/>
              <w:rPr>
                <w:b/>
                <w:bCs/>
                <w:sz w:val="24"/>
                <w:szCs w:val="24"/>
                <w:lang w:eastAsia="en-US"/>
              </w:rPr>
            </w:pPr>
            <w:r w:rsidRPr="00340337">
              <w:rPr>
                <w:b/>
                <w:bCs/>
                <w:sz w:val="24"/>
                <w:szCs w:val="24"/>
                <w:lang w:eastAsia="en-US"/>
              </w:rPr>
              <w:t>20000</w:t>
            </w:r>
          </w:p>
        </w:tc>
        <w:tc>
          <w:tcPr>
            <w:tcW w:w="1350" w:type="dxa"/>
            <w:shd w:val="clear" w:color="auto" w:fill="auto"/>
            <w:noWrap/>
            <w:vAlign w:val="bottom"/>
            <w:hideMark/>
          </w:tcPr>
          <w:p w14:paraId="5F4BAAC4" w14:textId="77777777" w:rsidR="00354C87" w:rsidRPr="00340337" w:rsidRDefault="00354C87" w:rsidP="00356647">
            <w:pPr>
              <w:jc w:val="center"/>
              <w:rPr>
                <w:b/>
                <w:bCs/>
                <w:sz w:val="24"/>
                <w:szCs w:val="24"/>
                <w:lang w:eastAsia="en-US"/>
              </w:rPr>
            </w:pPr>
            <w:r w:rsidRPr="00340337">
              <w:rPr>
                <w:b/>
                <w:bCs/>
                <w:sz w:val="24"/>
                <w:szCs w:val="24"/>
                <w:lang w:eastAsia="en-US"/>
              </w:rPr>
              <w:t>9875</w:t>
            </w:r>
          </w:p>
        </w:tc>
        <w:tc>
          <w:tcPr>
            <w:tcW w:w="1419" w:type="dxa"/>
            <w:shd w:val="clear" w:color="auto" w:fill="auto"/>
            <w:noWrap/>
            <w:vAlign w:val="bottom"/>
            <w:hideMark/>
          </w:tcPr>
          <w:p w14:paraId="74E301A2" w14:textId="77777777" w:rsidR="00354C87" w:rsidRPr="00340337" w:rsidRDefault="00354C87" w:rsidP="00356647">
            <w:pPr>
              <w:jc w:val="center"/>
              <w:rPr>
                <w:b/>
                <w:bCs/>
                <w:sz w:val="24"/>
                <w:szCs w:val="24"/>
                <w:lang w:eastAsia="en-US"/>
              </w:rPr>
            </w:pPr>
            <w:r w:rsidRPr="00340337">
              <w:rPr>
                <w:b/>
                <w:bCs/>
                <w:sz w:val="24"/>
                <w:szCs w:val="24"/>
              </w:rPr>
              <w:t>10125</w:t>
            </w:r>
          </w:p>
        </w:tc>
      </w:tr>
    </w:tbl>
    <w:p w14:paraId="1BCC2E0B" w14:textId="77777777" w:rsidR="00354C87" w:rsidRPr="00340337" w:rsidRDefault="00354C87" w:rsidP="00354C87">
      <w:pPr>
        <w:jc w:val="both"/>
        <w:rPr>
          <w:sz w:val="24"/>
          <w:szCs w:val="24"/>
        </w:rPr>
      </w:pPr>
      <w:r w:rsidRPr="00340337">
        <w:rPr>
          <w:sz w:val="24"/>
          <w:szCs w:val="24"/>
        </w:rPr>
        <w:tab/>
      </w:r>
    </w:p>
    <w:p w14:paraId="472E7243" w14:textId="77777777" w:rsidR="00354C87" w:rsidRPr="00340337" w:rsidRDefault="00354C87" w:rsidP="00354C87">
      <w:pPr>
        <w:tabs>
          <w:tab w:val="left" w:pos="993"/>
        </w:tabs>
        <w:jc w:val="both"/>
        <w:rPr>
          <w:sz w:val="24"/>
          <w:szCs w:val="24"/>
        </w:rPr>
      </w:pPr>
      <w:r w:rsidRPr="00340337">
        <w:rPr>
          <w:sz w:val="24"/>
          <w:szCs w:val="24"/>
        </w:rPr>
        <w:t>Taip pat laukiami šie papildomi rezultatai:</w:t>
      </w:r>
    </w:p>
    <w:p w14:paraId="4C5954D5" w14:textId="1399B6BF" w:rsidR="00354C87" w:rsidRPr="00340337" w:rsidRDefault="00354C87" w:rsidP="00A221AA">
      <w:pPr>
        <w:pStyle w:val="Sraopastraipa"/>
        <w:numPr>
          <w:ilvl w:val="0"/>
          <w:numId w:val="9"/>
        </w:numPr>
        <w:tabs>
          <w:tab w:val="left" w:pos="993"/>
        </w:tabs>
        <w:jc w:val="both"/>
        <w:rPr>
          <w:sz w:val="24"/>
          <w:szCs w:val="24"/>
        </w:rPr>
      </w:pPr>
      <w:r w:rsidRPr="00340337">
        <w:rPr>
          <w:sz w:val="24"/>
          <w:szCs w:val="24"/>
        </w:rPr>
        <w:t>nekilnojamojo turto administracinių patalpų (biurų) pasiūlos atsigavimas vystant naujus administracinių patalpų statybos projektus;</w:t>
      </w:r>
    </w:p>
    <w:p w14:paraId="1A184699" w14:textId="5215875A" w:rsidR="00354C87" w:rsidRPr="00340337" w:rsidRDefault="00A221AA" w:rsidP="00A221AA">
      <w:pPr>
        <w:pStyle w:val="Sraopastraipa"/>
        <w:numPr>
          <w:ilvl w:val="0"/>
          <w:numId w:val="9"/>
        </w:numPr>
        <w:tabs>
          <w:tab w:val="left" w:pos="993"/>
        </w:tabs>
        <w:jc w:val="both"/>
        <w:rPr>
          <w:sz w:val="24"/>
          <w:szCs w:val="24"/>
        </w:rPr>
      </w:pPr>
      <w:r w:rsidRPr="00340337">
        <w:rPr>
          <w:sz w:val="24"/>
          <w:szCs w:val="24"/>
        </w:rPr>
        <w:t>n</w:t>
      </w:r>
      <w:r w:rsidR="00354C87" w:rsidRPr="00340337">
        <w:rPr>
          <w:sz w:val="24"/>
          <w:szCs w:val="24"/>
        </w:rPr>
        <w:t>aujai sukurtos darbo vietos atnešama ekonominė vertė miestui sumokant gyventojų pajamų mokestį;</w:t>
      </w:r>
    </w:p>
    <w:p w14:paraId="5C497BF5" w14:textId="77777777" w:rsidR="001F555C" w:rsidRPr="00340337" w:rsidRDefault="001F555C" w:rsidP="00755DF5">
      <w:pPr>
        <w:pStyle w:val="Sraopastraipa"/>
        <w:tabs>
          <w:tab w:val="left" w:pos="993"/>
        </w:tabs>
        <w:ind w:left="0" w:firstLine="709"/>
        <w:jc w:val="both"/>
        <w:rPr>
          <w:sz w:val="24"/>
          <w:szCs w:val="24"/>
        </w:rPr>
      </w:pPr>
    </w:p>
    <w:p w14:paraId="46ED64C5" w14:textId="34663AE0" w:rsidR="002153C1" w:rsidRPr="00340337" w:rsidRDefault="002153C1" w:rsidP="003E194A">
      <w:pPr>
        <w:ind w:firstLine="748"/>
        <w:jc w:val="both"/>
        <w:rPr>
          <w:b/>
          <w:sz w:val="24"/>
          <w:szCs w:val="24"/>
        </w:rPr>
      </w:pPr>
      <w:r w:rsidRPr="00340337">
        <w:rPr>
          <w:b/>
          <w:bCs/>
          <w:sz w:val="24"/>
          <w:szCs w:val="24"/>
        </w:rPr>
        <w:t>4. Sprendimo projekto rengimo metu gauti specialistų vertinimai.</w:t>
      </w:r>
    </w:p>
    <w:p w14:paraId="6B0EDE71" w14:textId="33F0B433" w:rsidR="009F7CD7" w:rsidRPr="00340337" w:rsidRDefault="009F7CD7" w:rsidP="003E194A">
      <w:pPr>
        <w:ind w:firstLine="748"/>
        <w:jc w:val="both"/>
        <w:rPr>
          <w:bCs/>
          <w:sz w:val="24"/>
          <w:szCs w:val="24"/>
        </w:rPr>
      </w:pPr>
      <w:r w:rsidRPr="00340337">
        <w:rPr>
          <w:bCs/>
          <w:sz w:val="24"/>
          <w:szCs w:val="24"/>
        </w:rPr>
        <w:t xml:space="preserve">Sprendimo rengimo metu buvo konsultuojamasi ir gautos integruotos rekomendacijos iš </w:t>
      </w:r>
      <w:r w:rsidR="006C15EE" w:rsidRPr="00340337">
        <w:rPr>
          <w:bCs/>
          <w:sz w:val="24"/>
          <w:szCs w:val="24"/>
        </w:rPr>
        <w:t xml:space="preserve">VšĮ Klaipėda ir </w:t>
      </w:r>
      <w:r w:rsidRPr="00340337">
        <w:rPr>
          <w:bCs/>
          <w:sz w:val="24"/>
          <w:szCs w:val="24"/>
        </w:rPr>
        <w:t>VšĮ „Investuok Lietuvoje“ atsakingų ekspertų</w:t>
      </w:r>
      <w:r w:rsidR="006C15EE" w:rsidRPr="00340337">
        <w:rPr>
          <w:bCs/>
          <w:sz w:val="24"/>
          <w:szCs w:val="24"/>
        </w:rPr>
        <w:t xml:space="preserve"> (</w:t>
      </w:r>
      <w:r w:rsidRPr="00340337">
        <w:rPr>
          <w:bCs/>
          <w:sz w:val="24"/>
          <w:szCs w:val="24"/>
        </w:rPr>
        <w:t>regionų plėtros koordinatorės; Klaipėdos regiono plėtros projektų vadovės; finansinių paskatų projektų vadovės; teisininkės</w:t>
      </w:r>
      <w:r w:rsidR="006C15EE" w:rsidRPr="00340337">
        <w:rPr>
          <w:bCs/>
          <w:sz w:val="24"/>
          <w:szCs w:val="24"/>
        </w:rPr>
        <w:t>)</w:t>
      </w:r>
      <w:r w:rsidRPr="00340337">
        <w:rPr>
          <w:bCs/>
          <w:sz w:val="24"/>
          <w:szCs w:val="24"/>
        </w:rPr>
        <w:t>.</w:t>
      </w:r>
    </w:p>
    <w:p w14:paraId="0E92EC81" w14:textId="77777777" w:rsidR="009F7CD7" w:rsidRPr="00340337" w:rsidRDefault="009F7CD7" w:rsidP="003E194A">
      <w:pPr>
        <w:ind w:firstLine="748"/>
        <w:jc w:val="both"/>
        <w:rPr>
          <w:b/>
          <w:bCs/>
          <w:sz w:val="24"/>
          <w:szCs w:val="24"/>
        </w:rPr>
      </w:pPr>
    </w:p>
    <w:p w14:paraId="46ED64C7" w14:textId="347884FF" w:rsidR="002153C1" w:rsidRPr="00340337" w:rsidRDefault="002153C1" w:rsidP="003E194A">
      <w:pPr>
        <w:ind w:firstLine="748"/>
        <w:jc w:val="both"/>
        <w:rPr>
          <w:b/>
          <w:sz w:val="24"/>
          <w:szCs w:val="24"/>
        </w:rPr>
      </w:pPr>
      <w:r w:rsidRPr="00340337">
        <w:rPr>
          <w:b/>
          <w:bCs/>
          <w:sz w:val="24"/>
          <w:szCs w:val="24"/>
        </w:rPr>
        <w:t>5. Išlaidų sąmatos, skaičiavimai, reikalingi pagrindimai ir paaiškinimai.</w:t>
      </w:r>
    </w:p>
    <w:p w14:paraId="07486E60" w14:textId="4A4802D8" w:rsidR="00A407B1" w:rsidRPr="00340337" w:rsidRDefault="00A407B1" w:rsidP="00A407B1">
      <w:pPr>
        <w:autoSpaceDE w:val="0"/>
        <w:autoSpaceDN w:val="0"/>
        <w:adjustRightInd w:val="0"/>
        <w:ind w:firstLine="720"/>
        <w:jc w:val="both"/>
        <w:rPr>
          <w:rFonts w:eastAsia="Calibri"/>
          <w:color w:val="000000" w:themeColor="text1"/>
          <w:sz w:val="24"/>
          <w:szCs w:val="24"/>
          <w:lang w:eastAsia="en-US"/>
        </w:rPr>
      </w:pPr>
      <w:r w:rsidRPr="00340337">
        <w:rPr>
          <w:rFonts w:eastAsia="Calibri"/>
          <w:color w:val="000000" w:themeColor="text1"/>
          <w:sz w:val="24"/>
          <w:szCs w:val="24"/>
          <w:lang w:eastAsia="en-US"/>
        </w:rPr>
        <w:t xml:space="preserve">VšĮ Klaipėda ID atliko galimų finansinės paramos priemonių (darbo užmokesčio numatytu laikotarpiu kompensavimą; darbo užmokesčio dalies kompensavimo; patalpų nuomos; sukuriamų darbo vietų; darbuotojų mokymų) </w:t>
      </w:r>
      <w:r w:rsidR="002E54E3" w:rsidRPr="00340337">
        <w:rPr>
          <w:rFonts w:eastAsia="Calibri"/>
          <w:color w:val="000000" w:themeColor="text1"/>
          <w:sz w:val="24"/>
          <w:szCs w:val="24"/>
          <w:lang w:eastAsia="en-US"/>
        </w:rPr>
        <w:t xml:space="preserve">preliminarią </w:t>
      </w:r>
      <w:r w:rsidRPr="00340337">
        <w:rPr>
          <w:rFonts w:eastAsia="Calibri"/>
          <w:color w:val="000000" w:themeColor="text1"/>
          <w:sz w:val="24"/>
          <w:szCs w:val="24"/>
          <w:lang w:eastAsia="en-US"/>
        </w:rPr>
        <w:t>palyginamąją analizę (žr. 4 lentelė):</w:t>
      </w:r>
    </w:p>
    <w:p w14:paraId="0A7AA06F" w14:textId="77777777" w:rsidR="002E54E3" w:rsidRPr="00340337" w:rsidRDefault="002E54E3" w:rsidP="00A407B1">
      <w:pPr>
        <w:autoSpaceDE w:val="0"/>
        <w:autoSpaceDN w:val="0"/>
        <w:adjustRightInd w:val="0"/>
        <w:ind w:firstLine="720"/>
        <w:jc w:val="both"/>
        <w:rPr>
          <w:rFonts w:eastAsia="Calibri"/>
          <w:color w:val="000000" w:themeColor="text1"/>
          <w:sz w:val="24"/>
          <w:szCs w:val="24"/>
          <w:lang w:eastAsia="en-US"/>
        </w:rPr>
      </w:pPr>
    </w:p>
    <w:p w14:paraId="405A21A8" w14:textId="77777777" w:rsidR="00A407B1" w:rsidRPr="00340337" w:rsidRDefault="00A407B1" w:rsidP="00A407B1">
      <w:pPr>
        <w:tabs>
          <w:tab w:val="left" w:pos="570"/>
          <w:tab w:val="num" w:pos="1710"/>
        </w:tabs>
        <w:jc w:val="center"/>
      </w:pPr>
      <w:r w:rsidRPr="00340337">
        <w:rPr>
          <w:color w:val="000000"/>
          <w:lang w:eastAsia="en-US"/>
        </w:rPr>
        <w:t>4 lentelė. Paskatų taikymo finansinis modelis (Klaipėda ID analizė)</w:t>
      </w:r>
    </w:p>
    <w:tbl>
      <w:tblPr>
        <w:tblW w:w="9629" w:type="dxa"/>
        <w:jc w:val="center"/>
        <w:tblCellMar>
          <w:left w:w="0" w:type="dxa"/>
          <w:right w:w="0" w:type="dxa"/>
        </w:tblCellMar>
        <w:tblLook w:val="0600" w:firstRow="0" w:lastRow="0" w:firstColumn="0" w:lastColumn="0" w:noHBand="1" w:noVBand="1"/>
      </w:tblPr>
      <w:tblGrid>
        <w:gridCol w:w="799"/>
        <w:gridCol w:w="1634"/>
        <w:gridCol w:w="1436"/>
        <w:gridCol w:w="1260"/>
        <w:gridCol w:w="1438"/>
        <w:gridCol w:w="1438"/>
        <w:gridCol w:w="1624"/>
      </w:tblGrid>
      <w:tr w:rsidR="00A407B1" w:rsidRPr="00340337" w14:paraId="10EC4A07" w14:textId="77777777" w:rsidTr="002E54E3">
        <w:trPr>
          <w:trHeight w:val="1154"/>
          <w:jc w:val="center"/>
        </w:trPr>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A0405" w14:textId="77777777" w:rsidR="00A407B1" w:rsidRPr="00340337" w:rsidRDefault="00A407B1" w:rsidP="00356647">
            <w:pPr>
              <w:jc w:val="center"/>
              <w:rPr>
                <w:bCs/>
                <w:sz w:val="22"/>
                <w:szCs w:val="22"/>
                <w:lang w:eastAsia="en-US"/>
              </w:rPr>
            </w:pPr>
            <w:r w:rsidRPr="00340337">
              <w:rPr>
                <w:bCs/>
                <w:sz w:val="22"/>
                <w:szCs w:val="22"/>
                <w:lang w:eastAsia="en-US"/>
              </w:rPr>
              <w:t>Darbo vietų sk.</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09136D" w14:textId="77777777" w:rsidR="00A407B1" w:rsidRPr="00340337" w:rsidRDefault="00A407B1" w:rsidP="00356647">
            <w:pPr>
              <w:jc w:val="center"/>
              <w:rPr>
                <w:bCs/>
                <w:sz w:val="22"/>
                <w:szCs w:val="22"/>
                <w:lang w:eastAsia="en-US"/>
              </w:rPr>
            </w:pPr>
            <w:r w:rsidRPr="00340337">
              <w:rPr>
                <w:bCs/>
                <w:sz w:val="22"/>
                <w:szCs w:val="22"/>
                <w:lang w:eastAsia="en-US"/>
              </w:rPr>
              <w:t>Darbo užmokesčio kompensavimas 1 metus (970 Eur)</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3B0DBE" w14:textId="77777777" w:rsidR="00A407B1" w:rsidRPr="00340337" w:rsidRDefault="00A407B1" w:rsidP="00356647">
            <w:pPr>
              <w:jc w:val="center"/>
              <w:rPr>
                <w:bCs/>
                <w:sz w:val="22"/>
                <w:szCs w:val="22"/>
                <w:lang w:eastAsia="en-US"/>
              </w:rPr>
            </w:pPr>
            <w:r w:rsidRPr="00340337">
              <w:rPr>
                <w:bCs/>
                <w:sz w:val="22"/>
                <w:szCs w:val="22"/>
                <w:lang w:eastAsia="en-US"/>
              </w:rPr>
              <w:t>10-15 proc. Darbo užmokesčio pirmus 3 metus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8B275D" w14:textId="77777777" w:rsidR="00A407B1" w:rsidRPr="00340337" w:rsidRDefault="00A407B1" w:rsidP="00356647">
            <w:pPr>
              <w:jc w:val="center"/>
              <w:rPr>
                <w:bCs/>
                <w:sz w:val="22"/>
                <w:szCs w:val="22"/>
                <w:lang w:eastAsia="en-US"/>
              </w:rPr>
            </w:pPr>
            <w:r w:rsidRPr="00340337">
              <w:rPr>
                <w:bCs/>
                <w:sz w:val="22"/>
                <w:szCs w:val="22"/>
                <w:lang w:eastAsia="en-US"/>
              </w:rPr>
              <w:t>Patalpų nuomos kompensacija 1 metus</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71DFA6" w14:textId="77777777" w:rsidR="00A407B1" w:rsidRPr="00340337" w:rsidRDefault="00A407B1" w:rsidP="00356647">
            <w:pPr>
              <w:jc w:val="center"/>
              <w:rPr>
                <w:bCs/>
                <w:sz w:val="22"/>
                <w:szCs w:val="22"/>
                <w:lang w:eastAsia="en-US"/>
              </w:rPr>
            </w:pPr>
            <w:r w:rsidRPr="00340337">
              <w:rPr>
                <w:bCs/>
                <w:sz w:val="22"/>
                <w:szCs w:val="22"/>
                <w:lang w:eastAsia="en-US"/>
              </w:rPr>
              <w:t xml:space="preserve">Kompensacija darbo vietos įkūrimui </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D9401" w14:textId="77777777" w:rsidR="00A407B1" w:rsidRPr="00340337" w:rsidRDefault="00A407B1" w:rsidP="00356647">
            <w:pPr>
              <w:jc w:val="center"/>
              <w:rPr>
                <w:bCs/>
                <w:sz w:val="22"/>
                <w:szCs w:val="22"/>
                <w:lang w:eastAsia="en-US"/>
              </w:rPr>
            </w:pPr>
            <w:r w:rsidRPr="00340337">
              <w:rPr>
                <w:bCs/>
                <w:sz w:val="22"/>
                <w:szCs w:val="22"/>
                <w:lang w:eastAsia="en-US"/>
              </w:rPr>
              <w:t>3 mėn. darbo užmokesčio  kompnesacija</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43ED1C" w14:textId="77777777" w:rsidR="00A407B1" w:rsidRPr="00340337" w:rsidRDefault="00A407B1" w:rsidP="00356647">
            <w:pPr>
              <w:jc w:val="center"/>
              <w:rPr>
                <w:bCs/>
                <w:sz w:val="22"/>
                <w:szCs w:val="22"/>
                <w:lang w:eastAsia="en-US"/>
              </w:rPr>
            </w:pPr>
            <w:r w:rsidRPr="00340337">
              <w:rPr>
                <w:bCs/>
                <w:sz w:val="22"/>
                <w:szCs w:val="22"/>
                <w:lang w:eastAsia="en-US"/>
              </w:rPr>
              <w:t>Darbuotojų mokymai</w:t>
            </w:r>
          </w:p>
        </w:tc>
      </w:tr>
      <w:tr w:rsidR="00A407B1" w:rsidRPr="00340337" w14:paraId="1D58B22E" w14:textId="77777777" w:rsidTr="002E54E3">
        <w:trPr>
          <w:trHeight w:val="209"/>
          <w:jc w:val="center"/>
        </w:trPr>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0B5E0" w14:textId="77777777" w:rsidR="00A407B1" w:rsidRPr="00340337" w:rsidRDefault="00A407B1" w:rsidP="00356647">
            <w:pPr>
              <w:jc w:val="center"/>
              <w:rPr>
                <w:sz w:val="22"/>
                <w:szCs w:val="22"/>
                <w:lang w:eastAsia="en-US"/>
              </w:rPr>
            </w:pPr>
            <w:r w:rsidRPr="00340337">
              <w:rPr>
                <w:sz w:val="22"/>
                <w:szCs w:val="22"/>
                <w:lang w:eastAsia="en-US"/>
              </w:rPr>
              <w:t>20</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AE2937" w14:textId="77777777" w:rsidR="00A407B1" w:rsidRPr="00340337" w:rsidRDefault="00A407B1" w:rsidP="00356647">
            <w:pPr>
              <w:jc w:val="center"/>
              <w:rPr>
                <w:sz w:val="22"/>
                <w:szCs w:val="22"/>
                <w:lang w:eastAsia="en-US"/>
              </w:rPr>
            </w:pPr>
            <w:r w:rsidRPr="00340337">
              <w:rPr>
                <w:sz w:val="22"/>
                <w:szCs w:val="22"/>
                <w:lang w:eastAsia="en-US"/>
              </w:rPr>
              <w:t xml:space="preserve">232 800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7010D4" w14:textId="77777777" w:rsidR="00A407B1" w:rsidRPr="00340337" w:rsidRDefault="00A407B1" w:rsidP="00356647">
            <w:pPr>
              <w:jc w:val="center"/>
              <w:rPr>
                <w:sz w:val="22"/>
                <w:szCs w:val="22"/>
                <w:lang w:eastAsia="en-US"/>
              </w:rPr>
            </w:pPr>
            <w:r w:rsidRPr="00340337">
              <w:rPr>
                <w:sz w:val="22"/>
                <w:szCs w:val="22"/>
                <w:lang w:eastAsia="en-US"/>
              </w:rPr>
              <w:t>104 760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425395" w14:textId="77777777" w:rsidR="00A407B1" w:rsidRPr="00340337" w:rsidRDefault="00A407B1" w:rsidP="00356647">
            <w:pPr>
              <w:jc w:val="center"/>
              <w:rPr>
                <w:sz w:val="22"/>
                <w:szCs w:val="22"/>
                <w:lang w:eastAsia="en-US"/>
              </w:rPr>
            </w:pPr>
            <w:r w:rsidRPr="00340337">
              <w:rPr>
                <w:sz w:val="22"/>
                <w:szCs w:val="22"/>
                <w:lang w:eastAsia="en-US"/>
              </w:rPr>
              <w:t>19 200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8D484F" w14:textId="77777777" w:rsidR="00A407B1" w:rsidRPr="00340337" w:rsidRDefault="00A407B1" w:rsidP="00356647">
            <w:pPr>
              <w:jc w:val="center"/>
              <w:rPr>
                <w:sz w:val="22"/>
                <w:szCs w:val="22"/>
                <w:lang w:eastAsia="en-US"/>
              </w:rPr>
            </w:pPr>
            <w:r w:rsidRPr="00340337">
              <w:rPr>
                <w:sz w:val="22"/>
                <w:szCs w:val="22"/>
                <w:lang w:eastAsia="en-US"/>
              </w:rPr>
              <w:t>20 000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BB5A0" w14:textId="77777777" w:rsidR="00A407B1" w:rsidRPr="00340337" w:rsidRDefault="00A407B1" w:rsidP="00356647">
            <w:pPr>
              <w:jc w:val="center"/>
              <w:rPr>
                <w:sz w:val="22"/>
                <w:szCs w:val="22"/>
                <w:lang w:eastAsia="en-US"/>
              </w:rPr>
            </w:pPr>
            <w:r w:rsidRPr="00340337">
              <w:rPr>
                <w:sz w:val="22"/>
                <w:szCs w:val="22"/>
                <w:lang w:eastAsia="en-US"/>
              </w:rPr>
              <w:t>58 200</w:t>
            </w:r>
          </w:p>
        </w:tc>
        <w:tc>
          <w:tcPr>
            <w:tcW w:w="1624"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78137411" w14:textId="77777777" w:rsidR="00A407B1" w:rsidRPr="00340337" w:rsidRDefault="00A407B1" w:rsidP="00356647">
            <w:pPr>
              <w:rPr>
                <w:rFonts w:eastAsia="Calibri"/>
                <w:color w:val="000000"/>
                <w:sz w:val="22"/>
                <w:szCs w:val="22"/>
                <w:lang w:eastAsia="en-US"/>
              </w:rPr>
            </w:pPr>
            <w:r w:rsidRPr="00340337">
              <w:rPr>
                <w:sz w:val="22"/>
                <w:szCs w:val="22"/>
                <w:lang w:eastAsia="en-US"/>
              </w:rPr>
              <w:t>gali gauti mokymus per ES fondus</w:t>
            </w:r>
          </w:p>
        </w:tc>
      </w:tr>
      <w:tr w:rsidR="00A407B1" w:rsidRPr="00340337" w14:paraId="6CEE474F" w14:textId="77777777" w:rsidTr="002E54E3">
        <w:trPr>
          <w:trHeight w:val="316"/>
          <w:jc w:val="center"/>
        </w:trPr>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B847E1" w14:textId="77777777" w:rsidR="00A407B1" w:rsidRPr="00340337" w:rsidRDefault="00A407B1" w:rsidP="00356647">
            <w:pPr>
              <w:jc w:val="center"/>
              <w:rPr>
                <w:sz w:val="22"/>
                <w:szCs w:val="22"/>
                <w:lang w:eastAsia="en-US"/>
              </w:rPr>
            </w:pPr>
            <w:r w:rsidRPr="00340337">
              <w:rPr>
                <w:sz w:val="22"/>
                <w:szCs w:val="22"/>
                <w:lang w:eastAsia="en-US"/>
              </w:rPr>
              <w:t>50</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AA7348" w14:textId="77777777" w:rsidR="00A407B1" w:rsidRPr="00340337" w:rsidRDefault="00A407B1" w:rsidP="00356647">
            <w:pPr>
              <w:jc w:val="center"/>
              <w:rPr>
                <w:sz w:val="22"/>
                <w:szCs w:val="22"/>
                <w:lang w:eastAsia="en-US"/>
              </w:rPr>
            </w:pPr>
            <w:r w:rsidRPr="00340337">
              <w:rPr>
                <w:sz w:val="22"/>
                <w:szCs w:val="22"/>
                <w:lang w:eastAsia="en-US"/>
              </w:rPr>
              <w:t>582 000</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156466" w14:textId="77777777" w:rsidR="00A407B1" w:rsidRPr="00340337" w:rsidRDefault="00A407B1" w:rsidP="00356647">
            <w:pPr>
              <w:jc w:val="center"/>
              <w:rPr>
                <w:sz w:val="22"/>
                <w:szCs w:val="22"/>
                <w:lang w:eastAsia="en-US"/>
              </w:rPr>
            </w:pPr>
            <w:r w:rsidRPr="00340337">
              <w:rPr>
                <w:sz w:val="22"/>
                <w:szCs w:val="22"/>
                <w:lang w:eastAsia="en-US"/>
              </w:rPr>
              <w:t>261 900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B995B1" w14:textId="77777777" w:rsidR="00A407B1" w:rsidRPr="00340337" w:rsidRDefault="00A407B1" w:rsidP="00356647">
            <w:pPr>
              <w:jc w:val="center"/>
              <w:rPr>
                <w:sz w:val="22"/>
                <w:szCs w:val="22"/>
                <w:lang w:eastAsia="en-US"/>
              </w:rPr>
            </w:pPr>
            <w:r w:rsidRPr="00340337">
              <w:rPr>
                <w:sz w:val="22"/>
                <w:szCs w:val="22"/>
                <w:lang w:eastAsia="en-US"/>
              </w:rPr>
              <w:t>48 000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B06BB6" w14:textId="77777777" w:rsidR="00A407B1" w:rsidRPr="00340337" w:rsidRDefault="00A407B1" w:rsidP="00356647">
            <w:pPr>
              <w:jc w:val="center"/>
              <w:rPr>
                <w:sz w:val="22"/>
                <w:szCs w:val="22"/>
                <w:lang w:eastAsia="en-US"/>
              </w:rPr>
            </w:pPr>
            <w:r w:rsidRPr="00340337">
              <w:rPr>
                <w:sz w:val="22"/>
                <w:szCs w:val="22"/>
                <w:lang w:eastAsia="en-US"/>
              </w:rPr>
              <w:t>50 000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20F8BC" w14:textId="77777777" w:rsidR="00A407B1" w:rsidRPr="00340337" w:rsidRDefault="00A407B1" w:rsidP="00356647">
            <w:pPr>
              <w:jc w:val="center"/>
              <w:rPr>
                <w:sz w:val="22"/>
                <w:szCs w:val="22"/>
                <w:lang w:eastAsia="en-US"/>
              </w:rPr>
            </w:pPr>
            <w:r w:rsidRPr="00340337">
              <w:rPr>
                <w:sz w:val="22"/>
                <w:szCs w:val="22"/>
                <w:lang w:eastAsia="en-US"/>
              </w:rPr>
              <w:t>145 500</w:t>
            </w:r>
          </w:p>
        </w:tc>
        <w:tc>
          <w:tcPr>
            <w:tcW w:w="1624" w:type="dxa"/>
            <w:vMerge/>
            <w:tcBorders>
              <w:left w:val="single" w:sz="8" w:space="0" w:color="000000"/>
              <w:right w:val="single" w:sz="8" w:space="0" w:color="000000"/>
            </w:tcBorders>
            <w:vAlign w:val="center"/>
            <w:hideMark/>
          </w:tcPr>
          <w:p w14:paraId="6BF33968" w14:textId="77777777" w:rsidR="00A407B1" w:rsidRPr="00340337" w:rsidRDefault="00A407B1" w:rsidP="00356647">
            <w:pPr>
              <w:autoSpaceDE w:val="0"/>
              <w:autoSpaceDN w:val="0"/>
              <w:adjustRightInd w:val="0"/>
              <w:ind w:firstLine="709"/>
              <w:rPr>
                <w:rFonts w:eastAsia="Calibri"/>
                <w:color w:val="000000"/>
                <w:sz w:val="22"/>
                <w:szCs w:val="22"/>
                <w:lang w:eastAsia="en-US"/>
              </w:rPr>
            </w:pPr>
          </w:p>
        </w:tc>
      </w:tr>
      <w:tr w:rsidR="00A407B1" w:rsidRPr="00340337" w14:paraId="7F80FB04" w14:textId="77777777" w:rsidTr="002E54E3">
        <w:trPr>
          <w:trHeight w:val="119"/>
          <w:jc w:val="center"/>
        </w:trPr>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29DB6" w14:textId="77777777" w:rsidR="00A407B1" w:rsidRPr="00340337" w:rsidRDefault="00A407B1" w:rsidP="00356647">
            <w:pPr>
              <w:jc w:val="center"/>
              <w:rPr>
                <w:sz w:val="22"/>
                <w:szCs w:val="22"/>
                <w:lang w:eastAsia="en-US"/>
              </w:rPr>
            </w:pPr>
            <w:r w:rsidRPr="00340337">
              <w:rPr>
                <w:sz w:val="22"/>
                <w:szCs w:val="22"/>
                <w:lang w:eastAsia="en-US"/>
              </w:rPr>
              <w:t>100</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D8F3E9" w14:textId="77777777" w:rsidR="00A407B1" w:rsidRPr="00340337" w:rsidRDefault="00A407B1" w:rsidP="00356647">
            <w:pPr>
              <w:jc w:val="center"/>
              <w:rPr>
                <w:sz w:val="22"/>
                <w:szCs w:val="22"/>
                <w:lang w:eastAsia="en-US"/>
              </w:rPr>
            </w:pPr>
            <w:r w:rsidRPr="00340337">
              <w:rPr>
                <w:sz w:val="22"/>
                <w:szCs w:val="22"/>
                <w:lang w:eastAsia="en-US"/>
              </w:rPr>
              <w:t>1 164 000</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11EC3C" w14:textId="77777777" w:rsidR="00A407B1" w:rsidRPr="00340337" w:rsidRDefault="00A407B1" w:rsidP="00356647">
            <w:pPr>
              <w:jc w:val="center"/>
              <w:rPr>
                <w:sz w:val="22"/>
                <w:szCs w:val="22"/>
                <w:lang w:eastAsia="en-US"/>
              </w:rPr>
            </w:pPr>
            <w:r w:rsidRPr="00340337">
              <w:rPr>
                <w:sz w:val="22"/>
                <w:szCs w:val="22"/>
                <w:lang w:eastAsia="en-US"/>
              </w:rPr>
              <w:t>523 800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A0BBA6" w14:textId="77777777" w:rsidR="00A407B1" w:rsidRPr="00340337" w:rsidRDefault="00A407B1" w:rsidP="00356647">
            <w:pPr>
              <w:jc w:val="center"/>
              <w:rPr>
                <w:sz w:val="22"/>
                <w:szCs w:val="22"/>
                <w:lang w:eastAsia="en-US"/>
              </w:rPr>
            </w:pPr>
            <w:r w:rsidRPr="00340337">
              <w:rPr>
                <w:sz w:val="22"/>
                <w:szCs w:val="22"/>
                <w:lang w:eastAsia="en-US"/>
              </w:rPr>
              <w:t>96 000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4BA0E6" w14:textId="77777777" w:rsidR="00A407B1" w:rsidRPr="00340337" w:rsidRDefault="00A407B1" w:rsidP="00356647">
            <w:pPr>
              <w:jc w:val="center"/>
              <w:rPr>
                <w:sz w:val="22"/>
                <w:szCs w:val="22"/>
                <w:lang w:eastAsia="en-US"/>
              </w:rPr>
            </w:pPr>
            <w:r w:rsidRPr="00340337">
              <w:rPr>
                <w:sz w:val="22"/>
                <w:szCs w:val="22"/>
                <w:lang w:eastAsia="en-US"/>
              </w:rPr>
              <w:t>100 000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689057" w14:textId="77777777" w:rsidR="00A407B1" w:rsidRPr="00340337" w:rsidRDefault="00A407B1" w:rsidP="00356647">
            <w:pPr>
              <w:jc w:val="center"/>
              <w:rPr>
                <w:sz w:val="22"/>
                <w:szCs w:val="22"/>
                <w:lang w:eastAsia="en-US"/>
              </w:rPr>
            </w:pPr>
            <w:r w:rsidRPr="00340337">
              <w:rPr>
                <w:sz w:val="22"/>
                <w:szCs w:val="22"/>
                <w:lang w:eastAsia="en-US"/>
              </w:rPr>
              <w:t>291 000</w:t>
            </w:r>
          </w:p>
        </w:tc>
        <w:tc>
          <w:tcPr>
            <w:tcW w:w="1624" w:type="dxa"/>
            <w:vMerge/>
            <w:tcBorders>
              <w:left w:val="single" w:sz="8" w:space="0" w:color="000000"/>
              <w:right w:val="single" w:sz="8" w:space="0" w:color="000000"/>
            </w:tcBorders>
            <w:vAlign w:val="center"/>
            <w:hideMark/>
          </w:tcPr>
          <w:p w14:paraId="7B762BF3" w14:textId="77777777" w:rsidR="00A407B1" w:rsidRPr="00340337" w:rsidRDefault="00A407B1" w:rsidP="00356647">
            <w:pPr>
              <w:autoSpaceDE w:val="0"/>
              <w:autoSpaceDN w:val="0"/>
              <w:adjustRightInd w:val="0"/>
              <w:ind w:firstLine="709"/>
              <w:rPr>
                <w:rFonts w:eastAsia="Calibri"/>
                <w:color w:val="000000"/>
                <w:sz w:val="22"/>
                <w:szCs w:val="22"/>
                <w:lang w:eastAsia="en-US"/>
              </w:rPr>
            </w:pPr>
          </w:p>
        </w:tc>
      </w:tr>
      <w:tr w:rsidR="00A407B1" w:rsidRPr="00340337" w14:paraId="685E4E7F" w14:textId="77777777" w:rsidTr="002E54E3">
        <w:trPr>
          <w:trHeight w:val="241"/>
          <w:jc w:val="center"/>
        </w:trPr>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2ABE78" w14:textId="77777777" w:rsidR="00A407B1" w:rsidRPr="00340337" w:rsidRDefault="00A407B1" w:rsidP="00356647">
            <w:pPr>
              <w:jc w:val="center"/>
              <w:rPr>
                <w:sz w:val="22"/>
                <w:szCs w:val="22"/>
                <w:lang w:eastAsia="en-US"/>
              </w:rPr>
            </w:pPr>
            <w:r w:rsidRPr="00340337">
              <w:rPr>
                <w:sz w:val="22"/>
                <w:szCs w:val="22"/>
                <w:lang w:eastAsia="en-US"/>
              </w:rPr>
              <w:t>150</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D9B85F" w14:textId="77777777" w:rsidR="00A407B1" w:rsidRPr="00340337" w:rsidRDefault="00A407B1" w:rsidP="00356647">
            <w:pPr>
              <w:jc w:val="center"/>
              <w:rPr>
                <w:sz w:val="22"/>
                <w:szCs w:val="22"/>
                <w:lang w:eastAsia="en-US"/>
              </w:rPr>
            </w:pPr>
            <w:r w:rsidRPr="00340337">
              <w:rPr>
                <w:sz w:val="22"/>
                <w:szCs w:val="22"/>
                <w:lang w:eastAsia="en-US"/>
              </w:rPr>
              <w:t>1 746 000</w:t>
            </w:r>
          </w:p>
          <w:p w14:paraId="1782BF86" w14:textId="77777777" w:rsidR="00A407B1" w:rsidRPr="00340337" w:rsidRDefault="00A407B1" w:rsidP="00356647">
            <w:pPr>
              <w:rPr>
                <w:sz w:val="22"/>
                <w:szCs w:val="22"/>
                <w:lang w:eastAsia="en-US"/>
              </w:rPr>
            </w:pP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FA3533" w14:textId="77777777" w:rsidR="00A407B1" w:rsidRPr="00340337" w:rsidRDefault="00A407B1" w:rsidP="00356647">
            <w:pPr>
              <w:jc w:val="center"/>
              <w:rPr>
                <w:sz w:val="22"/>
                <w:szCs w:val="22"/>
                <w:lang w:eastAsia="en-US"/>
              </w:rPr>
            </w:pPr>
            <w:r w:rsidRPr="00340337">
              <w:rPr>
                <w:sz w:val="22"/>
                <w:szCs w:val="22"/>
                <w:lang w:eastAsia="en-US"/>
              </w:rPr>
              <w:t>785 700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D79DDF" w14:textId="77777777" w:rsidR="00A407B1" w:rsidRPr="00340337" w:rsidRDefault="00A407B1" w:rsidP="00356647">
            <w:pPr>
              <w:jc w:val="center"/>
              <w:rPr>
                <w:sz w:val="22"/>
                <w:szCs w:val="22"/>
                <w:lang w:eastAsia="en-US"/>
              </w:rPr>
            </w:pPr>
            <w:r w:rsidRPr="00340337">
              <w:rPr>
                <w:sz w:val="22"/>
                <w:szCs w:val="22"/>
                <w:lang w:eastAsia="en-US"/>
              </w:rPr>
              <w:t>144 000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D064A1" w14:textId="77777777" w:rsidR="00A407B1" w:rsidRPr="00340337" w:rsidRDefault="00A407B1" w:rsidP="00356647">
            <w:pPr>
              <w:jc w:val="center"/>
              <w:rPr>
                <w:sz w:val="22"/>
                <w:szCs w:val="22"/>
                <w:lang w:eastAsia="en-US"/>
              </w:rPr>
            </w:pPr>
            <w:r w:rsidRPr="00340337">
              <w:rPr>
                <w:sz w:val="22"/>
                <w:szCs w:val="22"/>
                <w:lang w:eastAsia="en-US"/>
              </w:rPr>
              <w:t>150 000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B14E8E" w14:textId="77777777" w:rsidR="00A407B1" w:rsidRPr="00340337" w:rsidRDefault="00A407B1" w:rsidP="00356647">
            <w:pPr>
              <w:jc w:val="center"/>
              <w:rPr>
                <w:sz w:val="22"/>
                <w:szCs w:val="22"/>
                <w:lang w:eastAsia="en-US"/>
              </w:rPr>
            </w:pPr>
            <w:r w:rsidRPr="00340337">
              <w:rPr>
                <w:sz w:val="22"/>
                <w:szCs w:val="22"/>
                <w:lang w:eastAsia="en-US"/>
              </w:rPr>
              <w:t>436 500</w:t>
            </w:r>
          </w:p>
        </w:tc>
        <w:tc>
          <w:tcPr>
            <w:tcW w:w="1624" w:type="dxa"/>
            <w:vMerge/>
            <w:tcBorders>
              <w:left w:val="single" w:sz="8" w:space="0" w:color="000000"/>
              <w:right w:val="single" w:sz="8" w:space="0" w:color="000000"/>
            </w:tcBorders>
            <w:vAlign w:val="center"/>
            <w:hideMark/>
          </w:tcPr>
          <w:p w14:paraId="621F5DCC" w14:textId="77777777" w:rsidR="00A407B1" w:rsidRPr="00340337" w:rsidRDefault="00A407B1" w:rsidP="00356647">
            <w:pPr>
              <w:autoSpaceDE w:val="0"/>
              <w:autoSpaceDN w:val="0"/>
              <w:adjustRightInd w:val="0"/>
              <w:ind w:firstLine="709"/>
              <w:rPr>
                <w:rFonts w:eastAsia="Calibri"/>
                <w:color w:val="000000"/>
                <w:sz w:val="22"/>
                <w:szCs w:val="22"/>
                <w:lang w:eastAsia="en-US"/>
              </w:rPr>
            </w:pPr>
          </w:p>
        </w:tc>
      </w:tr>
      <w:tr w:rsidR="00A407B1" w:rsidRPr="00340337" w14:paraId="5DD109D3" w14:textId="77777777" w:rsidTr="002E54E3">
        <w:trPr>
          <w:trHeight w:val="213"/>
          <w:jc w:val="center"/>
        </w:trPr>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F653DA" w14:textId="77777777" w:rsidR="00A407B1" w:rsidRPr="00340337" w:rsidRDefault="00A407B1" w:rsidP="00356647">
            <w:pPr>
              <w:jc w:val="center"/>
              <w:rPr>
                <w:sz w:val="22"/>
                <w:szCs w:val="22"/>
                <w:lang w:eastAsia="en-US"/>
              </w:rPr>
            </w:pPr>
            <w:r w:rsidRPr="00340337">
              <w:rPr>
                <w:sz w:val="22"/>
                <w:szCs w:val="22"/>
                <w:lang w:eastAsia="en-US"/>
              </w:rPr>
              <w:t>200</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FB9361" w14:textId="77777777" w:rsidR="00A407B1" w:rsidRPr="00340337" w:rsidRDefault="00A407B1" w:rsidP="00356647">
            <w:pPr>
              <w:jc w:val="center"/>
              <w:rPr>
                <w:sz w:val="22"/>
                <w:szCs w:val="22"/>
                <w:lang w:eastAsia="en-US"/>
              </w:rPr>
            </w:pPr>
            <w:r w:rsidRPr="00340337">
              <w:rPr>
                <w:sz w:val="22"/>
                <w:szCs w:val="22"/>
                <w:lang w:eastAsia="en-US"/>
              </w:rPr>
              <w:t>2 328 000</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51F17D" w14:textId="77777777" w:rsidR="00A407B1" w:rsidRPr="00340337" w:rsidRDefault="00A407B1" w:rsidP="00356647">
            <w:pPr>
              <w:jc w:val="center"/>
              <w:rPr>
                <w:sz w:val="22"/>
                <w:szCs w:val="22"/>
                <w:lang w:eastAsia="en-US"/>
              </w:rPr>
            </w:pPr>
            <w:r w:rsidRPr="00340337">
              <w:rPr>
                <w:sz w:val="22"/>
                <w:szCs w:val="22"/>
                <w:lang w:eastAsia="en-US"/>
              </w:rPr>
              <w:t>1 047 600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AA2EFC" w14:textId="77777777" w:rsidR="00A407B1" w:rsidRPr="00340337" w:rsidRDefault="00A407B1" w:rsidP="00356647">
            <w:pPr>
              <w:jc w:val="center"/>
              <w:rPr>
                <w:sz w:val="22"/>
                <w:szCs w:val="22"/>
                <w:lang w:eastAsia="en-US"/>
              </w:rPr>
            </w:pPr>
            <w:r w:rsidRPr="00340337">
              <w:rPr>
                <w:sz w:val="22"/>
                <w:szCs w:val="22"/>
                <w:lang w:eastAsia="en-US"/>
              </w:rPr>
              <w:t>192 000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D96CF0" w14:textId="77777777" w:rsidR="00A407B1" w:rsidRPr="00340337" w:rsidRDefault="00A407B1" w:rsidP="00356647">
            <w:pPr>
              <w:jc w:val="center"/>
              <w:rPr>
                <w:sz w:val="22"/>
                <w:szCs w:val="22"/>
                <w:lang w:eastAsia="en-US"/>
              </w:rPr>
            </w:pPr>
            <w:r w:rsidRPr="00340337">
              <w:rPr>
                <w:sz w:val="22"/>
                <w:szCs w:val="22"/>
                <w:lang w:eastAsia="en-US"/>
              </w:rPr>
              <w:t>200 000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350289" w14:textId="77777777" w:rsidR="00A407B1" w:rsidRPr="00340337" w:rsidRDefault="00A407B1" w:rsidP="00356647">
            <w:pPr>
              <w:jc w:val="center"/>
              <w:rPr>
                <w:sz w:val="22"/>
                <w:szCs w:val="22"/>
                <w:lang w:eastAsia="en-US"/>
              </w:rPr>
            </w:pPr>
            <w:r w:rsidRPr="00340337">
              <w:rPr>
                <w:sz w:val="22"/>
                <w:szCs w:val="22"/>
                <w:lang w:eastAsia="en-US"/>
              </w:rPr>
              <w:t>582 000</w:t>
            </w:r>
          </w:p>
        </w:tc>
        <w:tc>
          <w:tcPr>
            <w:tcW w:w="1624" w:type="dxa"/>
            <w:vMerge/>
            <w:tcBorders>
              <w:left w:val="single" w:sz="8" w:space="0" w:color="000000"/>
              <w:bottom w:val="single" w:sz="8" w:space="0" w:color="000000"/>
              <w:right w:val="single" w:sz="8" w:space="0" w:color="000000"/>
            </w:tcBorders>
            <w:vAlign w:val="center"/>
            <w:hideMark/>
          </w:tcPr>
          <w:p w14:paraId="5FAF2952" w14:textId="77777777" w:rsidR="00A407B1" w:rsidRPr="00340337" w:rsidRDefault="00A407B1" w:rsidP="00356647">
            <w:pPr>
              <w:autoSpaceDE w:val="0"/>
              <w:autoSpaceDN w:val="0"/>
              <w:adjustRightInd w:val="0"/>
              <w:ind w:firstLine="709"/>
              <w:rPr>
                <w:rFonts w:eastAsia="Calibri"/>
                <w:color w:val="000000"/>
                <w:sz w:val="22"/>
                <w:szCs w:val="22"/>
                <w:lang w:eastAsia="en-US"/>
              </w:rPr>
            </w:pPr>
          </w:p>
        </w:tc>
      </w:tr>
    </w:tbl>
    <w:p w14:paraId="34C1FEEF" w14:textId="30927E31" w:rsidR="00A407B1" w:rsidRPr="00340337" w:rsidRDefault="002E54E3" w:rsidP="002E54E3">
      <w:pPr>
        <w:autoSpaceDE w:val="0"/>
        <w:autoSpaceDN w:val="0"/>
        <w:adjustRightInd w:val="0"/>
        <w:ind w:firstLine="720"/>
        <w:jc w:val="both"/>
        <w:rPr>
          <w:sz w:val="24"/>
          <w:szCs w:val="24"/>
        </w:rPr>
      </w:pPr>
      <w:r w:rsidRPr="00340337">
        <w:rPr>
          <w:rFonts w:eastAsia="Calibri"/>
          <w:color w:val="000000" w:themeColor="text1"/>
          <w:sz w:val="24"/>
          <w:szCs w:val="24"/>
          <w:lang w:eastAsia="en-US"/>
        </w:rPr>
        <w:t xml:space="preserve">Atliktos analizės pagrindu galima teigti, kad dėl patiriamos mažiausios finansinės naštos, aiškaus ir paprasto administravimo, greičiausio atsiperkamumo ir rizikų valdymo būtų efektyviausia rinktis finansinės paramos priemonę - </w:t>
      </w:r>
      <w:r w:rsidR="00A407B1" w:rsidRPr="00340337">
        <w:rPr>
          <w:rFonts w:eastAsia="Calibri"/>
          <w:color w:val="000000" w:themeColor="text1"/>
          <w:sz w:val="24"/>
          <w:szCs w:val="24"/>
          <w:lang w:eastAsia="en-US"/>
        </w:rPr>
        <w:t>darbo vietos nuomos kompensavim</w:t>
      </w:r>
      <w:r w:rsidRPr="00340337">
        <w:rPr>
          <w:rFonts w:eastAsia="Calibri"/>
          <w:color w:val="000000" w:themeColor="text1"/>
          <w:sz w:val="24"/>
          <w:szCs w:val="24"/>
          <w:lang w:eastAsia="en-US"/>
        </w:rPr>
        <w:t xml:space="preserve">ą </w:t>
      </w:r>
      <w:r w:rsidR="00A407B1" w:rsidRPr="00340337">
        <w:rPr>
          <w:rFonts w:eastAsia="Calibri"/>
          <w:color w:val="000000" w:themeColor="text1"/>
          <w:sz w:val="24"/>
          <w:szCs w:val="24"/>
          <w:lang w:eastAsia="en-US"/>
        </w:rPr>
        <w:t>už vienerius metus</w:t>
      </w:r>
      <w:r w:rsidRPr="00340337">
        <w:rPr>
          <w:rFonts w:eastAsia="Calibri"/>
          <w:color w:val="000000" w:themeColor="text1"/>
          <w:sz w:val="24"/>
          <w:szCs w:val="24"/>
          <w:lang w:eastAsia="en-US"/>
        </w:rPr>
        <w:t xml:space="preserve">.  </w:t>
      </w:r>
    </w:p>
    <w:p w14:paraId="65D58AC4" w14:textId="31451A82" w:rsidR="002E54E3" w:rsidRPr="00340337" w:rsidRDefault="002E54E3" w:rsidP="002E54E3">
      <w:pPr>
        <w:autoSpaceDE w:val="0"/>
        <w:autoSpaceDN w:val="0"/>
        <w:adjustRightInd w:val="0"/>
        <w:ind w:firstLine="709"/>
        <w:jc w:val="both"/>
        <w:rPr>
          <w:sz w:val="24"/>
          <w:szCs w:val="24"/>
        </w:rPr>
      </w:pPr>
      <w:r w:rsidRPr="00340337">
        <w:rPr>
          <w:rFonts w:eastAsia="Calibri"/>
          <w:color w:val="000000" w:themeColor="text1"/>
          <w:sz w:val="24"/>
          <w:szCs w:val="24"/>
          <w:lang w:eastAsia="en-US"/>
        </w:rPr>
        <w:t xml:space="preserve">Klaipėdoje A klasės administracinių patalpų nuomos kaina yra </w:t>
      </w:r>
      <w:r w:rsidR="004B1B4B" w:rsidRPr="00340337">
        <w:rPr>
          <w:rFonts w:eastAsia="Calibri"/>
          <w:color w:val="000000" w:themeColor="text1"/>
          <w:sz w:val="24"/>
          <w:szCs w:val="24"/>
          <w:lang w:eastAsia="en-US"/>
        </w:rPr>
        <w:t xml:space="preserve">nuo </w:t>
      </w:r>
      <w:r w:rsidRPr="00340337">
        <w:rPr>
          <w:rFonts w:eastAsia="Calibri"/>
          <w:color w:val="000000" w:themeColor="text1"/>
          <w:sz w:val="24"/>
          <w:szCs w:val="24"/>
          <w:lang w:eastAsia="en-US"/>
        </w:rPr>
        <w:t>9</w:t>
      </w:r>
      <w:r w:rsidR="004B1B4B" w:rsidRPr="00340337">
        <w:rPr>
          <w:rFonts w:eastAsia="Calibri"/>
          <w:color w:val="000000" w:themeColor="text1"/>
          <w:sz w:val="24"/>
          <w:szCs w:val="24"/>
          <w:lang w:eastAsia="en-US"/>
        </w:rPr>
        <w:t xml:space="preserve"> iki 1</w:t>
      </w:r>
      <w:r w:rsidRPr="00340337">
        <w:rPr>
          <w:rFonts w:eastAsia="Calibri"/>
          <w:color w:val="000000" w:themeColor="text1"/>
          <w:sz w:val="24"/>
          <w:szCs w:val="24"/>
          <w:lang w:eastAsia="en-US"/>
        </w:rPr>
        <w:t>2,5 EUR/m</w:t>
      </w:r>
      <w:r w:rsidRPr="00340337">
        <w:rPr>
          <w:rFonts w:eastAsia="Calibri"/>
          <w:color w:val="000000" w:themeColor="text1"/>
          <w:sz w:val="24"/>
          <w:szCs w:val="24"/>
          <w:vertAlign w:val="superscript"/>
          <w:lang w:eastAsia="en-US"/>
        </w:rPr>
        <w:t>2</w:t>
      </w:r>
      <w:r w:rsidRPr="00340337">
        <w:rPr>
          <w:rFonts w:eastAsia="Calibri"/>
          <w:color w:val="000000" w:themeColor="text1"/>
          <w:sz w:val="24"/>
          <w:szCs w:val="24"/>
          <w:lang w:eastAsia="en-US"/>
        </w:rPr>
        <w:t>,</w:t>
      </w:r>
      <w:r w:rsidRPr="00340337">
        <w:rPr>
          <w:rFonts w:eastAsia="Calibri"/>
          <w:color w:val="000000" w:themeColor="text1"/>
          <w:sz w:val="24"/>
          <w:szCs w:val="24"/>
          <w:vertAlign w:val="superscript"/>
          <w:lang w:eastAsia="en-US"/>
        </w:rPr>
        <w:t>7</w:t>
      </w:r>
      <w:r w:rsidRPr="00340337">
        <w:rPr>
          <w:rFonts w:eastAsia="Calibri"/>
          <w:color w:val="000000" w:themeColor="text1"/>
          <w:sz w:val="24"/>
          <w:szCs w:val="24"/>
          <w:lang w:eastAsia="en-US"/>
        </w:rPr>
        <w:t xml:space="preserve"> ergonomiškos darbo vietos plotas paslaugų centruose svyruoja tarp 7</w:t>
      </w:r>
      <w:r w:rsidR="004B1B4B" w:rsidRPr="00340337">
        <w:rPr>
          <w:rFonts w:eastAsia="Calibri"/>
          <w:color w:val="000000" w:themeColor="text1"/>
          <w:sz w:val="24"/>
          <w:szCs w:val="24"/>
          <w:lang w:eastAsia="en-US"/>
        </w:rPr>
        <w:t xml:space="preserve"> </w:t>
      </w:r>
      <w:r w:rsidRPr="00340337">
        <w:rPr>
          <w:rFonts w:eastAsia="Calibri"/>
          <w:color w:val="000000" w:themeColor="text1"/>
          <w:sz w:val="24"/>
          <w:szCs w:val="24"/>
          <w:lang w:eastAsia="en-US"/>
        </w:rPr>
        <w:t>-</w:t>
      </w:r>
      <w:r w:rsidR="004B1B4B" w:rsidRPr="00340337">
        <w:rPr>
          <w:rFonts w:eastAsia="Calibri"/>
          <w:color w:val="000000" w:themeColor="text1"/>
          <w:sz w:val="24"/>
          <w:szCs w:val="24"/>
          <w:lang w:eastAsia="en-US"/>
        </w:rPr>
        <w:t xml:space="preserve"> </w:t>
      </w:r>
      <w:r w:rsidRPr="00340337">
        <w:rPr>
          <w:rFonts w:eastAsia="Calibri"/>
          <w:color w:val="000000" w:themeColor="text1"/>
          <w:sz w:val="24"/>
          <w:szCs w:val="24"/>
          <w:lang w:eastAsia="en-US"/>
        </w:rPr>
        <w:t xml:space="preserve">10 </w:t>
      </w:r>
      <w:r w:rsidR="004B1B4B" w:rsidRPr="00340337">
        <w:rPr>
          <w:rFonts w:eastAsia="Calibri"/>
          <w:color w:val="000000" w:themeColor="text1"/>
          <w:sz w:val="24"/>
          <w:szCs w:val="24"/>
          <w:lang w:eastAsia="en-US"/>
        </w:rPr>
        <w:t>EUR/</w:t>
      </w:r>
      <w:r w:rsidRPr="00340337">
        <w:rPr>
          <w:sz w:val="24"/>
          <w:szCs w:val="24"/>
        </w:rPr>
        <w:t>m</w:t>
      </w:r>
      <w:r w:rsidRPr="00340337">
        <w:rPr>
          <w:sz w:val="24"/>
          <w:szCs w:val="24"/>
          <w:vertAlign w:val="superscript"/>
        </w:rPr>
        <w:t>2</w:t>
      </w:r>
      <w:r w:rsidRPr="00340337">
        <w:rPr>
          <w:sz w:val="24"/>
          <w:szCs w:val="24"/>
        </w:rPr>
        <w:t>.</w:t>
      </w:r>
      <w:r w:rsidRPr="00340337">
        <w:rPr>
          <w:rFonts w:eastAsia="Calibri"/>
          <w:color w:val="000000" w:themeColor="text1"/>
          <w:sz w:val="24"/>
          <w:szCs w:val="24"/>
          <w:vertAlign w:val="superscript"/>
          <w:lang w:eastAsia="en-US"/>
        </w:rPr>
        <w:t>7</w:t>
      </w:r>
    </w:p>
    <w:p w14:paraId="53FE31C6" w14:textId="48F2EB41" w:rsidR="002E54E3" w:rsidRPr="00340337" w:rsidRDefault="004B1B4B" w:rsidP="002E54E3">
      <w:pPr>
        <w:autoSpaceDE w:val="0"/>
        <w:autoSpaceDN w:val="0"/>
        <w:adjustRightInd w:val="0"/>
        <w:ind w:firstLine="709"/>
        <w:jc w:val="both"/>
        <w:rPr>
          <w:sz w:val="24"/>
          <w:szCs w:val="24"/>
        </w:rPr>
      </w:pPr>
      <w:r w:rsidRPr="00340337">
        <w:rPr>
          <w:sz w:val="24"/>
          <w:szCs w:val="24"/>
        </w:rPr>
        <w:t xml:space="preserve">Jeigu būtų pasitrinkta finansinės paramos priemonė - </w:t>
      </w:r>
      <w:r w:rsidR="002E54E3" w:rsidRPr="00340337">
        <w:rPr>
          <w:sz w:val="24"/>
          <w:szCs w:val="24"/>
        </w:rPr>
        <w:t>vienos darbo vietos 1 metų nuomos išlaid</w:t>
      </w:r>
      <w:r w:rsidR="006824C4" w:rsidRPr="00340337">
        <w:rPr>
          <w:sz w:val="24"/>
          <w:szCs w:val="24"/>
        </w:rPr>
        <w:t>ų kompensavimas. Būtų galima modeliuoti, kad k</w:t>
      </w:r>
      <w:r w:rsidR="002E54E3" w:rsidRPr="00340337">
        <w:rPr>
          <w:sz w:val="24"/>
          <w:szCs w:val="24"/>
        </w:rPr>
        <w:t>ompensuojama administracinių patalpų nuomos kainos dalis ne</w:t>
      </w:r>
      <w:r w:rsidR="006824C4" w:rsidRPr="00340337">
        <w:rPr>
          <w:sz w:val="24"/>
          <w:szCs w:val="24"/>
        </w:rPr>
        <w:t xml:space="preserve">galėtų viršyti </w:t>
      </w:r>
      <w:r w:rsidR="002E54E3" w:rsidRPr="00340337">
        <w:rPr>
          <w:sz w:val="24"/>
          <w:szCs w:val="24"/>
        </w:rPr>
        <w:t>10 Eur / m2</w:t>
      </w:r>
      <w:r w:rsidR="006824C4" w:rsidRPr="00340337">
        <w:rPr>
          <w:sz w:val="24"/>
          <w:szCs w:val="24"/>
        </w:rPr>
        <w:t xml:space="preserve">, o naudingo ploto vienai darbo vietai plotas - </w:t>
      </w:r>
      <w:r w:rsidR="002E54E3" w:rsidRPr="00340337">
        <w:rPr>
          <w:sz w:val="24"/>
          <w:szCs w:val="24"/>
        </w:rPr>
        <w:t>8 m2</w:t>
      </w:r>
      <w:r w:rsidR="006824C4" w:rsidRPr="00340337">
        <w:rPr>
          <w:sz w:val="24"/>
          <w:szCs w:val="24"/>
        </w:rPr>
        <w:t>. Tokiu atveju</w:t>
      </w:r>
      <w:r w:rsidR="006824C4" w:rsidRPr="00340337">
        <w:t xml:space="preserve"> </w:t>
      </w:r>
      <w:r w:rsidR="006824C4" w:rsidRPr="00340337">
        <w:rPr>
          <w:sz w:val="24"/>
          <w:szCs w:val="24"/>
        </w:rPr>
        <w:t xml:space="preserve">vienos darbo vietos 1 metų nuomos išlaidų kompensavimo suma būtų </w:t>
      </w:r>
      <w:r w:rsidR="002E54E3" w:rsidRPr="00340337">
        <w:rPr>
          <w:sz w:val="24"/>
          <w:szCs w:val="24"/>
        </w:rPr>
        <w:t xml:space="preserve">ne daugiau nei 960 Eur / 1 darbo vietai. </w:t>
      </w:r>
      <w:r w:rsidR="006824C4" w:rsidRPr="00340337">
        <w:rPr>
          <w:sz w:val="24"/>
          <w:szCs w:val="24"/>
        </w:rPr>
        <w:t xml:space="preserve">Tokia parama galėtų būti </w:t>
      </w:r>
      <w:r w:rsidR="002E54E3" w:rsidRPr="00340337">
        <w:rPr>
          <w:sz w:val="24"/>
          <w:szCs w:val="24"/>
        </w:rPr>
        <w:t xml:space="preserve">taikoma </w:t>
      </w:r>
      <w:r w:rsidR="006824C4" w:rsidRPr="00340337">
        <w:rPr>
          <w:sz w:val="24"/>
          <w:szCs w:val="24"/>
        </w:rPr>
        <w:t xml:space="preserve">subjektui </w:t>
      </w:r>
      <w:r w:rsidR="002E54E3" w:rsidRPr="00340337">
        <w:rPr>
          <w:sz w:val="24"/>
          <w:szCs w:val="24"/>
        </w:rPr>
        <w:t>sukūrusia</w:t>
      </w:r>
      <w:r w:rsidR="006824C4" w:rsidRPr="00340337">
        <w:rPr>
          <w:sz w:val="24"/>
          <w:szCs w:val="24"/>
        </w:rPr>
        <w:t>m</w:t>
      </w:r>
      <w:r w:rsidR="002E54E3" w:rsidRPr="00340337">
        <w:rPr>
          <w:sz w:val="24"/>
          <w:szCs w:val="24"/>
        </w:rPr>
        <w:t xml:space="preserve"> ne mažiau kaip 20 naujų darbo vietų ir įsipareigojusi</w:t>
      </w:r>
      <w:r w:rsidR="006824C4" w:rsidRPr="00340337">
        <w:rPr>
          <w:sz w:val="24"/>
          <w:szCs w:val="24"/>
        </w:rPr>
        <w:t xml:space="preserve">am </w:t>
      </w:r>
      <w:r w:rsidR="002E54E3" w:rsidRPr="00340337">
        <w:rPr>
          <w:sz w:val="24"/>
          <w:szCs w:val="24"/>
        </w:rPr>
        <w:t xml:space="preserve">išlaikyti darbo vietas </w:t>
      </w:r>
      <w:r w:rsidR="002E54E3" w:rsidRPr="00340337">
        <w:rPr>
          <w:bCs/>
          <w:sz w:val="24"/>
          <w:szCs w:val="24"/>
        </w:rPr>
        <w:t>ne mažiau nei 3 metus</w:t>
      </w:r>
      <w:r w:rsidR="006824C4" w:rsidRPr="00340337">
        <w:rPr>
          <w:bCs/>
          <w:sz w:val="24"/>
          <w:szCs w:val="24"/>
        </w:rPr>
        <w:t xml:space="preserve">. </w:t>
      </w:r>
    </w:p>
    <w:p w14:paraId="748A35B4" w14:textId="77777777" w:rsidR="006824C4" w:rsidRPr="00340337" w:rsidRDefault="002E54E3" w:rsidP="002E54E3">
      <w:pPr>
        <w:autoSpaceDE w:val="0"/>
        <w:autoSpaceDN w:val="0"/>
        <w:adjustRightInd w:val="0"/>
        <w:ind w:firstLine="709"/>
        <w:jc w:val="both"/>
        <w:rPr>
          <w:sz w:val="24"/>
          <w:szCs w:val="24"/>
        </w:rPr>
      </w:pPr>
      <w:r w:rsidRPr="00340337">
        <w:rPr>
          <w:sz w:val="24"/>
          <w:szCs w:val="24"/>
        </w:rPr>
        <w:t xml:space="preserve">Kaip minėta anksčiau, paslaugų centrų sukuriama vertė miestui paprastai būna daug didesnė nei gamybinių projektų, mokami vidutiniai atlyginimai aukštesni, o žmonių įdarbinama daugiau. Paslaugų centrai paprastai ieško jaunų gabių žmonių, todėl </w:t>
      </w:r>
      <w:r w:rsidR="006824C4" w:rsidRPr="00340337">
        <w:rPr>
          <w:sz w:val="24"/>
          <w:szCs w:val="24"/>
        </w:rPr>
        <w:t>sprendimas p</w:t>
      </w:r>
      <w:r w:rsidRPr="00340337">
        <w:rPr>
          <w:sz w:val="24"/>
          <w:szCs w:val="24"/>
        </w:rPr>
        <w:t xml:space="preserve">lėsti paslaugų sektorių </w:t>
      </w:r>
      <w:r w:rsidR="006824C4" w:rsidRPr="00340337">
        <w:rPr>
          <w:sz w:val="24"/>
          <w:szCs w:val="24"/>
        </w:rPr>
        <w:t xml:space="preserve">padidintų </w:t>
      </w:r>
      <w:r w:rsidRPr="00340337">
        <w:rPr>
          <w:sz w:val="24"/>
          <w:szCs w:val="24"/>
        </w:rPr>
        <w:t>Klaipėd</w:t>
      </w:r>
      <w:r w:rsidR="006824C4" w:rsidRPr="00340337">
        <w:rPr>
          <w:sz w:val="24"/>
          <w:szCs w:val="24"/>
        </w:rPr>
        <w:t xml:space="preserve">os galimybes </w:t>
      </w:r>
      <w:r w:rsidRPr="00340337">
        <w:rPr>
          <w:sz w:val="24"/>
          <w:szCs w:val="24"/>
        </w:rPr>
        <w:t xml:space="preserve">išlaikyti jaunus žmonės bei prisitraukti studijas baigusį jaunimą iš kitų Lietuvos ir užsienio miestų. </w:t>
      </w:r>
    </w:p>
    <w:p w14:paraId="59C854CA" w14:textId="2028EDCF" w:rsidR="002E54E3" w:rsidRPr="00340337" w:rsidRDefault="002E54E3" w:rsidP="002E54E3">
      <w:pPr>
        <w:autoSpaceDE w:val="0"/>
        <w:autoSpaceDN w:val="0"/>
        <w:adjustRightInd w:val="0"/>
        <w:ind w:firstLine="709"/>
        <w:jc w:val="both"/>
        <w:rPr>
          <w:sz w:val="24"/>
          <w:szCs w:val="24"/>
        </w:rPr>
      </w:pPr>
      <w:r w:rsidRPr="00340337">
        <w:rPr>
          <w:sz w:val="24"/>
          <w:szCs w:val="24"/>
        </w:rPr>
        <w:t xml:space="preserve">Papildomai buvo </w:t>
      </w:r>
      <w:r w:rsidR="006824C4" w:rsidRPr="00340337">
        <w:rPr>
          <w:sz w:val="24"/>
          <w:szCs w:val="24"/>
        </w:rPr>
        <w:t xml:space="preserve">pamodeliuota, </w:t>
      </w:r>
      <w:r w:rsidRPr="00340337">
        <w:rPr>
          <w:sz w:val="24"/>
          <w:szCs w:val="24"/>
        </w:rPr>
        <w:t xml:space="preserve">kokią įtaką suteikta </w:t>
      </w:r>
      <w:r w:rsidR="006824C4" w:rsidRPr="00340337">
        <w:rPr>
          <w:sz w:val="24"/>
          <w:szCs w:val="24"/>
        </w:rPr>
        <w:t xml:space="preserve">parama galėtų </w:t>
      </w:r>
      <w:r w:rsidRPr="00340337">
        <w:rPr>
          <w:sz w:val="24"/>
          <w:szCs w:val="24"/>
        </w:rPr>
        <w:t>padaryti miesto biudžetui:</w:t>
      </w:r>
    </w:p>
    <w:p w14:paraId="59B5F4A6" w14:textId="3B01D941" w:rsidR="00A407B1" w:rsidRPr="00340337" w:rsidRDefault="00A407B1" w:rsidP="00A407B1">
      <w:pPr>
        <w:tabs>
          <w:tab w:val="left" w:pos="2856"/>
        </w:tabs>
        <w:jc w:val="both"/>
        <w:rPr>
          <w:sz w:val="24"/>
          <w:szCs w:val="24"/>
        </w:rPr>
      </w:pPr>
    </w:p>
    <w:p w14:paraId="755FC24C" w14:textId="077CC990" w:rsidR="002E54E3" w:rsidRPr="00340337" w:rsidRDefault="002E54E3" w:rsidP="002E54E3">
      <w:pPr>
        <w:autoSpaceDE w:val="0"/>
        <w:autoSpaceDN w:val="0"/>
        <w:adjustRightInd w:val="0"/>
        <w:ind w:firstLine="709"/>
        <w:jc w:val="center"/>
        <w:rPr>
          <w:sz w:val="24"/>
          <w:szCs w:val="24"/>
        </w:rPr>
      </w:pPr>
      <w:r w:rsidRPr="00340337">
        <w:rPr>
          <w:color w:val="000000"/>
          <w:sz w:val="24"/>
          <w:szCs w:val="24"/>
          <w:lang w:eastAsia="en-US"/>
        </w:rPr>
        <w:t xml:space="preserve">5 lentelė. </w:t>
      </w:r>
      <w:r w:rsidR="006824C4" w:rsidRPr="00340337">
        <w:rPr>
          <w:color w:val="000000"/>
          <w:sz w:val="24"/>
          <w:szCs w:val="24"/>
          <w:lang w:eastAsia="en-US"/>
        </w:rPr>
        <w:t xml:space="preserve">Paramos </w:t>
      </w:r>
      <w:r w:rsidRPr="00340337">
        <w:rPr>
          <w:sz w:val="24"/>
          <w:szCs w:val="24"/>
        </w:rPr>
        <w:t>atsiperkamumas</w:t>
      </w:r>
      <w:r w:rsidRPr="00340337">
        <w:rPr>
          <w:color w:val="000000"/>
          <w:sz w:val="24"/>
          <w:szCs w:val="24"/>
          <w:lang w:eastAsia="en-US"/>
        </w:rPr>
        <w:t xml:space="preserve"> (Klaipėda ID analizė)</w:t>
      </w:r>
    </w:p>
    <w:tbl>
      <w:tblPr>
        <w:tblW w:w="9573" w:type="dxa"/>
        <w:tblCellMar>
          <w:left w:w="0" w:type="dxa"/>
          <w:right w:w="0" w:type="dxa"/>
        </w:tblCellMar>
        <w:tblLook w:val="0600" w:firstRow="0" w:lastRow="0" w:firstColumn="0" w:lastColumn="0" w:noHBand="1" w:noVBand="1"/>
      </w:tblPr>
      <w:tblGrid>
        <w:gridCol w:w="1187"/>
        <w:gridCol w:w="1092"/>
        <w:gridCol w:w="1647"/>
        <w:gridCol w:w="1586"/>
        <w:gridCol w:w="2222"/>
        <w:gridCol w:w="1839"/>
      </w:tblGrid>
      <w:tr w:rsidR="002E54E3" w:rsidRPr="00340337" w14:paraId="1AA95C61" w14:textId="77777777" w:rsidTr="00356647">
        <w:trPr>
          <w:trHeight w:val="1159"/>
        </w:trPr>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ADDC03" w14:textId="77777777" w:rsidR="002E54E3" w:rsidRPr="00340337" w:rsidRDefault="002E54E3" w:rsidP="002E54E3">
            <w:pPr>
              <w:jc w:val="center"/>
              <w:rPr>
                <w:bCs/>
                <w:sz w:val="22"/>
                <w:szCs w:val="22"/>
                <w:lang w:eastAsia="en-US"/>
              </w:rPr>
            </w:pPr>
            <w:r w:rsidRPr="00340337">
              <w:rPr>
                <w:bCs/>
                <w:sz w:val="22"/>
                <w:szCs w:val="22"/>
                <w:lang w:eastAsia="en-US"/>
              </w:rPr>
              <w:t> Nuomos kaštai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DE496A" w14:textId="77777777" w:rsidR="002E54E3" w:rsidRPr="00340337" w:rsidRDefault="002E54E3" w:rsidP="002E54E3">
            <w:pPr>
              <w:jc w:val="center"/>
              <w:rPr>
                <w:bCs/>
                <w:sz w:val="22"/>
                <w:szCs w:val="22"/>
                <w:lang w:eastAsia="en-US"/>
              </w:rPr>
            </w:pPr>
            <w:r w:rsidRPr="00340337">
              <w:rPr>
                <w:bCs/>
                <w:sz w:val="22"/>
                <w:szCs w:val="22"/>
                <w:lang w:eastAsia="en-US"/>
              </w:rPr>
              <w:t>Sukurta darbo vietų</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B337C1" w14:textId="77777777" w:rsidR="002E54E3" w:rsidRPr="00340337" w:rsidRDefault="002E54E3" w:rsidP="002E54E3">
            <w:pPr>
              <w:jc w:val="center"/>
              <w:rPr>
                <w:bCs/>
                <w:sz w:val="22"/>
                <w:szCs w:val="22"/>
                <w:lang w:eastAsia="en-US"/>
              </w:rPr>
            </w:pPr>
            <w:r w:rsidRPr="00340337">
              <w:rPr>
                <w:bCs/>
                <w:sz w:val="22"/>
                <w:szCs w:val="22"/>
                <w:lang w:eastAsia="en-US"/>
              </w:rPr>
              <w:t>Atlyginimas</w:t>
            </w:r>
          </w:p>
          <w:p w14:paraId="296ED58F" w14:textId="77777777" w:rsidR="002E54E3" w:rsidRPr="00340337" w:rsidRDefault="002E54E3" w:rsidP="002E54E3">
            <w:pPr>
              <w:jc w:val="center"/>
              <w:rPr>
                <w:bCs/>
                <w:sz w:val="22"/>
                <w:szCs w:val="22"/>
                <w:lang w:eastAsia="en-US"/>
              </w:rPr>
            </w:pPr>
            <w:r w:rsidRPr="00340337">
              <w:rPr>
                <w:bCs/>
                <w:sz w:val="22"/>
                <w:szCs w:val="22"/>
                <w:lang w:eastAsia="en-US"/>
              </w:rPr>
              <w:t>(Brutto) EUR</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039EC0" w14:textId="77777777" w:rsidR="002E54E3" w:rsidRPr="00340337" w:rsidRDefault="002E54E3" w:rsidP="002E54E3">
            <w:pPr>
              <w:jc w:val="center"/>
              <w:rPr>
                <w:bCs/>
                <w:sz w:val="22"/>
                <w:szCs w:val="22"/>
                <w:lang w:eastAsia="en-US"/>
              </w:rPr>
            </w:pPr>
            <w:r w:rsidRPr="00340337">
              <w:rPr>
                <w:bCs/>
                <w:sz w:val="22"/>
                <w:szCs w:val="22"/>
                <w:lang w:eastAsia="en-US"/>
              </w:rPr>
              <w:t>Sumokami GPM mokesčiai miestui per 3 metus</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EDF062" w14:textId="77777777" w:rsidR="002E54E3" w:rsidRPr="00340337" w:rsidRDefault="002E54E3" w:rsidP="002E54E3">
            <w:pPr>
              <w:jc w:val="center"/>
              <w:rPr>
                <w:bCs/>
                <w:sz w:val="22"/>
                <w:szCs w:val="22"/>
                <w:lang w:eastAsia="en-US"/>
              </w:rPr>
            </w:pPr>
            <w:r w:rsidRPr="00340337">
              <w:rPr>
                <w:bCs/>
                <w:sz w:val="22"/>
                <w:szCs w:val="22"/>
                <w:lang w:eastAsia="en-US"/>
              </w:rPr>
              <w:t> Sumokami GPM mokesčiai miestui per 3 metus (įvertinus multiplikatoriaus efektą)</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2BC821" w14:textId="77777777" w:rsidR="002E54E3" w:rsidRPr="00340337" w:rsidRDefault="002E54E3" w:rsidP="002E54E3">
            <w:pPr>
              <w:jc w:val="center"/>
              <w:rPr>
                <w:bCs/>
                <w:sz w:val="22"/>
                <w:szCs w:val="22"/>
                <w:lang w:eastAsia="en-US"/>
              </w:rPr>
            </w:pPr>
            <w:r w:rsidRPr="00340337">
              <w:rPr>
                <w:bCs/>
                <w:sz w:val="22"/>
                <w:szCs w:val="22"/>
                <w:lang w:eastAsia="en-US"/>
              </w:rPr>
              <w:t xml:space="preserve">Bendrai sumokami mokesčiai per 3 metus </w:t>
            </w:r>
          </w:p>
        </w:tc>
      </w:tr>
      <w:tr w:rsidR="002E54E3" w:rsidRPr="00340337" w14:paraId="6C6AACDD" w14:textId="77777777" w:rsidTr="00356647">
        <w:trPr>
          <w:trHeight w:val="194"/>
        </w:trPr>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49A62A" w14:textId="77777777" w:rsidR="002E54E3" w:rsidRPr="00340337" w:rsidRDefault="002E54E3" w:rsidP="002E54E3">
            <w:pPr>
              <w:jc w:val="center"/>
              <w:rPr>
                <w:sz w:val="22"/>
                <w:szCs w:val="22"/>
                <w:lang w:eastAsia="en-US"/>
              </w:rPr>
            </w:pPr>
            <w:r w:rsidRPr="00340337">
              <w:rPr>
                <w:color w:val="000000"/>
                <w:kern w:val="24"/>
                <w:sz w:val="22"/>
                <w:szCs w:val="22"/>
              </w:rPr>
              <w:t>19 200</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788A8D" w14:textId="77777777" w:rsidR="002E54E3" w:rsidRPr="00340337" w:rsidRDefault="002E54E3" w:rsidP="002E54E3">
            <w:pPr>
              <w:jc w:val="center"/>
              <w:rPr>
                <w:sz w:val="22"/>
                <w:szCs w:val="22"/>
                <w:lang w:eastAsia="en-US"/>
              </w:rPr>
            </w:pPr>
            <w:r w:rsidRPr="00340337">
              <w:rPr>
                <w:sz w:val="22"/>
                <w:szCs w:val="22"/>
                <w:lang w:eastAsia="en-US"/>
              </w:rPr>
              <w:t>20</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680F47" w14:textId="77777777" w:rsidR="002E54E3" w:rsidRPr="00340337" w:rsidRDefault="002E54E3" w:rsidP="002E54E3">
            <w:pPr>
              <w:jc w:val="center"/>
              <w:rPr>
                <w:sz w:val="22"/>
                <w:szCs w:val="22"/>
                <w:lang w:eastAsia="en-US"/>
              </w:rPr>
            </w:pPr>
            <w:r w:rsidRPr="00340337">
              <w:rPr>
                <w:color w:val="000000"/>
                <w:kern w:val="24"/>
                <w:sz w:val="22"/>
                <w:szCs w:val="22"/>
              </w:rPr>
              <w:t xml:space="preserve">970 </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1ED848" w14:textId="77777777" w:rsidR="002E54E3" w:rsidRPr="00340337" w:rsidRDefault="002E54E3" w:rsidP="002E54E3">
            <w:pPr>
              <w:jc w:val="center"/>
              <w:rPr>
                <w:color w:val="000000"/>
                <w:kern w:val="24"/>
                <w:sz w:val="22"/>
                <w:szCs w:val="22"/>
              </w:rPr>
            </w:pPr>
            <w:r w:rsidRPr="00340337">
              <w:rPr>
                <w:color w:val="000000"/>
                <w:kern w:val="24"/>
                <w:sz w:val="22"/>
                <w:szCs w:val="22"/>
              </w:rPr>
              <w:t>150 360 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5C128F" w14:textId="77777777" w:rsidR="002E54E3" w:rsidRPr="00340337" w:rsidRDefault="002E54E3" w:rsidP="002E54E3">
            <w:pPr>
              <w:jc w:val="center"/>
              <w:rPr>
                <w:color w:val="000000"/>
                <w:kern w:val="24"/>
                <w:sz w:val="22"/>
                <w:szCs w:val="22"/>
              </w:rPr>
            </w:pPr>
            <w:r w:rsidRPr="00340337">
              <w:rPr>
                <w:color w:val="000000"/>
                <w:kern w:val="24"/>
                <w:sz w:val="22"/>
                <w:szCs w:val="22"/>
              </w:rPr>
              <w:t>116 935  </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40A79B" w14:textId="77777777" w:rsidR="002E54E3" w:rsidRPr="00340337" w:rsidRDefault="002E54E3" w:rsidP="002E54E3">
            <w:pPr>
              <w:jc w:val="center"/>
              <w:rPr>
                <w:color w:val="000000"/>
                <w:kern w:val="24"/>
                <w:sz w:val="22"/>
                <w:szCs w:val="22"/>
              </w:rPr>
            </w:pPr>
            <w:r w:rsidRPr="00340337">
              <w:rPr>
                <w:color w:val="000000"/>
                <w:kern w:val="24"/>
                <w:sz w:val="22"/>
                <w:szCs w:val="22"/>
              </w:rPr>
              <w:t xml:space="preserve">222 295 </w:t>
            </w:r>
          </w:p>
        </w:tc>
      </w:tr>
      <w:tr w:rsidR="002E54E3" w:rsidRPr="00340337" w14:paraId="5E8A4A19" w14:textId="77777777" w:rsidTr="00356647">
        <w:trPr>
          <w:trHeight w:val="185"/>
        </w:trPr>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768608" w14:textId="77777777" w:rsidR="002E54E3" w:rsidRPr="00340337" w:rsidRDefault="002E54E3" w:rsidP="002E54E3">
            <w:pPr>
              <w:jc w:val="center"/>
              <w:rPr>
                <w:sz w:val="22"/>
                <w:szCs w:val="22"/>
                <w:lang w:eastAsia="en-US"/>
              </w:rPr>
            </w:pPr>
            <w:r w:rsidRPr="00340337">
              <w:rPr>
                <w:color w:val="000000"/>
                <w:kern w:val="24"/>
                <w:sz w:val="22"/>
                <w:szCs w:val="22"/>
              </w:rPr>
              <w:t>48 000</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00C28B" w14:textId="77777777" w:rsidR="002E54E3" w:rsidRPr="00340337" w:rsidRDefault="002E54E3" w:rsidP="002E54E3">
            <w:pPr>
              <w:jc w:val="center"/>
              <w:rPr>
                <w:sz w:val="22"/>
                <w:szCs w:val="22"/>
                <w:lang w:eastAsia="en-US"/>
              </w:rPr>
            </w:pPr>
            <w:r w:rsidRPr="00340337">
              <w:rPr>
                <w:sz w:val="22"/>
                <w:szCs w:val="22"/>
                <w:lang w:eastAsia="en-US"/>
              </w:rPr>
              <w:t>50</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33F59D" w14:textId="77777777" w:rsidR="002E54E3" w:rsidRPr="00340337" w:rsidRDefault="002E54E3" w:rsidP="002E54E3">
            <w:pPr>
              <w:jc w:val="center"/>
              <w:rPr>
                <w:sz w:val="22"/>
                <w:szCs w:val="22"/>
                <w:lang w:eastAsia="en-US"/>
              </w:rPr>
            </w:pPr>
            <w:r w:rsidRPr="00340337">
              <w:rPr>
                <w:color w:val="000000"/>
                <w:kern w:val="24"/>
                <w:sz w:val="22"/>
                <w:szCs w:val="22"/>
              </w:rPr>
              <w:t xml:space="preserve">970 </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623478" w14:textId="77777777" w:rsidR="002E54E3" w:rsidRPr="00340337" w:rsidRDefault="002E54E3" w:rsidP="002E54E3">
            <w:pPr>
              <w:jc w:val="center"/>
              <w:rPr>
                <w:color w:val="000000"/>
                <w:kern w:val="24"/>
                <w:sz w:val="22"/>
                <w:szCs w:val="22"/>
              </w:rPr>
            </w:pPr>
            <w:r w:rsidRPr="00340337">
              <w:rPr>
                <w:color w:val="000000"/>
                <w:kern w:val="24"/>
                <w:sz w:val="22"/>
                <w:szCs w:val="22"/>
              </w:rPr>
              <w:t>263 399 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83AE6B" w14:textId="77777777" w:rsidR="002E54E3" w:rsidRPr="00340337" w:rsidRDefault="002E54E3" w:rsidP="002E54E3">
            <w:pPr>
              <w:jc w:val="center"/>
              <w:rPr>
                <w:color w:val="000000"/>
                <w:kern w:val="24"/>
                <w:sz w:val="22"/>
                <w:szCs w:val="22"/>
              </w:rPr>
            </w:pPr>
            <w:r w:rsidRPr="00340337">
              <w:rPr>
                <w:color w:val="000000"/>
                <w:kern w:val="24"/>
                <w:sz w:val="22"/>
                <w:szCs w:val="22"/>
              </w:rPr>
              <w:t xml:space="preserve">292  337 </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C71C02" w14:textId="77777777" w:rsidR="002E54E3" w:rsidRPr="00340337" w:rsidRDefault="002E54E3" w:rsidP="002E54E3">
            <w:pPr>
              <w:jc w:val="center"/>
              <w:rPr>
                <w:color w:val="000000"/>
                <w:kern w:val="24"/>
                <w:sz w:val="22"/>
                <w:szCs w:val="22"/>
              </w:rPr>
            </w:pPr>
            <w:r w:rsidRPr="00340337">
              <w:rPr>
                <w:color w:val="000000"/>
                <w:kern w:val="24"/>
                <w:sz w:val="22"/>
                <w:szCs w:val="22"/>
              </w:rPr>
              <w:t xml:space="preserve">555 376 </w:t>
            </w:r>
          </w:p>
        </w:tc>
      </w:tr>
      <w:tr w:rsidR="002E54E3" w:rsidRPr="00340337" w14:paraId="2DA4AE45" w14:textId="77777777" w:rsidTr="00356647">
        <w:trPr>
          <w:trHeight w:val="189"/>
        </w:trPr>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4984F5" w14:textId="77777777" w:rsidR="002E54E3" w:rsidRPr="00340337" w:rsidRDefault="002E54E3" w:rsidP="002E54E3">
            <w:pPr>
              <w:jc w:val="center"/>
              <w:rPr>
                <w:sz w:val="22"/>
                <w:szCs w:val="22"/>
                <w:lang w:eastAsia="en-US"/>
              </w:rPr>
            </w:pPr>
            <w:r w:rsidRPr="00340337">
              <w:rPr>
                <w:color w:val="000000"/>
                <w:kern w:val="24"/>
                <w:sz w:val="22"/>
                <w:szCs w:val="22"/>
              </w:rPr>
              <w:t>96 000</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7EB013" w14:textId="77777777" w:rsidR="002E54E3" w:rsidRPr="00340337" w:rsidRDefault="002E54E3" w:rsidP="002E54E3">
            <w:pPr>
              <w:jc w:val="center"/>
              <w:rPr>
                <w:sz w:val="22"/>
                <w:szCs w:val="22"/>
                <w:lang w:eastAsia="en-US"/>
              </w:rPr>
            </w:pPr>
            <w:r w:rsidRPr="00340337">
              <w:rPr>
                <w:sz w:val="22"/>
                <w:szCs w:val="22"/>
                <w:lang w:eastAsia="en-US"/>
              </w:rPr>
              <w:t>100</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35B986" w14:textId="77777777" w:rsidR="002E54E3" w:rsidRPr="00340337" w:rsidRDefault="002E54E3" w:rsidP="002E54E3">
            <w:pPr>
              <w:jc w:val="center"/>
              <w:rPr>
                <w:sz w:val="22"/>
                <w:szCs w:val="22"/>
                <w:lang w:eastAsia="en-US"/>
              </w:rPr>
            </w:pPr>
            <w:r w:rsidRPr="00340337">
              <w:rPr>
                <w:color w:val="000000"/>
                <w:kern w:val="24"/>
                <w:sz w:val="22"/>
                <w:szCs w:val="22"/>
              </w:rPr>
              <w:t xml:space="preserve">970 </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1AFD75" w14:textId="77777777" w:rsidR="002E54E3" w:rsidRPr="00340337" w:rsidRDefault="002E54E3" w:rsidP="002E54E3">
            <w:pPr>
              <w:jc w:val="center"/>
              <w:rPr>
                <w:color w:val="000000"/>
                <w:kern w:val="24"/>
                <w:sz w:val="22"/>
                <w:szCs w:val="22"/>
              </w:rPr>
            </w:pPr>
            <w:r w:rsidRPr="00340337">
              <w:rPr>
                <w:color w:val="000000"/>
                <w:kern w:val="24"/>
                <w:sz w:val="22"/>
                <w:szCs w:val="22"/>
              </w:rPr>
              <w:t>526 797  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A38AF" w14:textId="77777777" w:rsidR="002E54E3" w:rsidRPr="00340337" w:rsidRDefault="002E54E3" w:rsidP="002E54E3">
            <w:pPr>
              <w:jc w:val="center"/>
              <w:rPr>
                <w:color w:val="000000"/>
                <w:kern w:val="24"/>
                <w:sz w:val="22"/>
                <w:szCs w:val="22"/>
              </w:rPr>
            </w:pPr>
            <w:r w:rsidRPr="00340337">
              <w:rPr>
                <w:color w:val="000000"/>
                <w:kern w:val="24"/>
                <w:sz w:val="22"/>
                <w:szCs w:val="22"/>
              </w:rPr>
              <w:t>588 113  </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DD80D7" w14:textId="77777777" w:rsidR="002E54E3" w:rsidRPr="00340337" w:rsidRDefault="002E54E3" w:rsidP="002E54E3">
            <w:pPr>
              <w:jc w:val="center"/>
              <w:rPr>
                <w:color w:val="000000"/>
                <w:kern w:val="24"/>
                <w:sz w:val="22"/>
                <w:szCs w:val="22"/>
              </w:rPr>
            </w:pPr>
            <w:r w:rsidRPr="00340337">
              <w:rPr>
                <w:color w:val="000000"/>
                <w:kern w:val="24"/>
                <w:sz w:val="22"/>
                <w:szCs w:val="22"/>
              </w:rPr>
              <w:t>1 114 911</w:t>
            </w:r>
          </w:p>
        </w:tc>
      </w:tr>
      <w:tr w:rsidR="002E54E3" w:rsidRPr="00340337" w14:paraId="719F2930" w14:textId="77777777" w:rsidTr="00356647">
        <w:trPr>
          <w:trHeight w:val="179"/>
        </w:trPr>
        <w:tc>
          <w:tcPr>
            <w:tcW w:w="11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BE51B4" w14:textId="77777777" w:rsidR="002E54E3" w:rsidRPr="00340337" w:rsidRDefault="002E54E3" w:rsidP="002E54E3">
            <w:pPr>
              <w:jc w:val="center"/>
              <w:rPr>
                <w:sz w:val="22"/>
                <w:szCs w:val="22"/>
                <w:lang w:eastAsia="en-US"/>
              </w:rPr>
            </w:pPr>
            <w:r w:rsidRPr="00340337">
              <w:rPr>
                <w:color w:val="000000"/>
                <w:kern w:val="24"/>
                <w:sz w:val="22"/>
                <w:szCs w:val="22"/>
              </w:rPr>
              <w:t>192 000</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51288E" w14:textId="77777777" w:rsidR="002E54E3" w:rsidRPr="00340337" w:rsidRDefault="002E54E3" w:rsidP="002E54E3">
            <w:pPr>
              <w:jc w:val="center"/>
              <w:rPr>
                <w:sz w:val="22"/>
                <w:szCs w:val="22"/>
                <w:lang w:eastAsia="en-US"/>
              </w:rPr>
            </w:pPr>
            <w:r w:rsidRPr="00340337">
              <w:rPr>
                <w:sz w:val="22"/>
                <w:szCs w:val="22"/>
                <w:lang w:eastAsia="en-US"/>
              </w:rPr>
              <w:t>200</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8D91F9" w14:textId="77777777" w:rsidR="002E54E3" w:rsidRPr="00340337" w:rsidRDefault="002E54E3" w:rsidP="002E54E3">
            <w:pPr>
              <w:jc w:val="center"/>
              <w:rPr>
                <w:sz w:val="22"/>
                <w:szCs w:val="22"/>
                <w:lang w:eastAsia="en-US"/>
              </w:rPr>
            </w:pPr>
            <w:r w:rsidRPr="00340337">
              <w:rPr>
                <w:color w:val="000000"/>
                <w:kern w:val="24"/>
                <w:sz w:val="22"/>
                <w:szCs w:val="22"/>
              </w:rPr>
              <w:t xml:space="preserve">970 </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B25D4C0" w14:textId="77777777" w:rsidR="002E54E3" w:rsidRPr="00340337" w:rsidRDefault="002E54E3" w:rsidP="002E54E3">
            <w:pPr>
              <w:jc w:val="center"/>
              <w:rPr>
                <w:color w:val="000000"/>
                <w:kern w:val="24"/>
                <w:sz w:val="22"/>
                <w:szCs w:val="22"/>
              </w:rPr>
            </w:pPr>
            <w:r w:rsidRPr="00340337">
              <w:rPr>
                <w:color w:val="000000"/>
                <w:kern w:val="24"/>
                <w:sz w:val="22"/>
                <w:szCs w:val="22"/>
              </w:rPr>
              <w:t>1 053 595 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5F94AF" w14:textId="77777777" w:rsidR="002E54E3" w:rsidRPr="00340337" w:rsidRDefault="002E54E3" w:rsidP="002E54E3">
            <w:pPr>
              <w:jc w:val="center"/>
              <w:rPr>
                <w:color w:val="000000"/>
                <w:kern w:val="24"/>
                <w:sz w:val="22"/>
                <w:szCs w:val="22"/>
              </w:rPr>
            </w:pPr>
            <w:r w:rsidRPr="00340337">
              <w:rPr>
                <w:color w:val="000000"/>
                <w:kern w:val="24"/>
                <w:sz w:val="22"/>
                <w:szCs w:val="22"/>
              </w:rPr>
              <w:t>1 176 226  </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D7A343" w14:textId="77777777" w:rsidR="002E54E3" w:rsidRPr="00340337" w:rsidRDefault="002E54E3" w:rsidP="002E54E3">
            <w:pPr>
              <w:jc w:val="center"/>
              <w:rPr>
                <w:color w:val="000000"/>
                <w:kern w:val="24"/>
                <w:sz w:val="22"/>
                <w:szCs w:val="22"/>
              </w:rPr>
            </w:pPr>
            <w:r w:rsidRPr="00340337">
              <w:rPr>
                <w:color w:val="000000"/>
                <w:kern w:val="24"/>
                <w:sz w:val="22"/>
                <w:szCs w:val="22"/>
              </w:rPr>
              <w:t xml:space="preserve">2 229 822 </w:t>
            </w:r>
          </w:p>
        </w:tc>
      </w:tr>
    </w:tbl>
    <w:p w14:paraId="01FC0D34" w14:textId="77777777" w:rsidR="002E54E3" w:rsidRPr="00340337" w:rsidRDefault="002E54E3" w:rsidP="002E54E3">
      <w:pPr>
        <w:autoSpaceDE w:val="0"/>
        <w:autoSpaceDN w:val="0"/>
        <w:adjustRightInd w:val="0"/>
        <w:jc w:val="both"/>
        <w:rPr>
          <w:sz w:val="24"/>
          <w:szCs w:val="24"/>
        </w:rPr>
      </w:pPr>
    </w:p>
    <w:p w14:paraId="6204A761" w14:textId="680E5435" w:rsidR="00A407B1" w:rsidRPr="00340337" w:rsidRDefault="002E54E3" w:rsidP="00340337">
      <w:pPr>
        <w:ind w:firstLine="720"/>
        <w:jc w:val="both"/>
        <w:rPr>
          <w:sz w:val="24"/>
          <w:szCs w:val="24"/>
        </w:rPr>
      </w:pPr>
      <w:r w:rsidRPr="00340337">
        <w:rPr>
          <w:sz w:val="24"/>
          <w:szCs w:val="24"/>
        </w:rPr>
        <w:t xml:space="preserve">Atsiperkamumas </w:t>
      </w:r>
      <w:r w:rsidR="00340337">
        <w:rPr>
          <w:sz w:val="24"/>
          <w:szCs w:val="24"/>
        </w:rPr>
        <w:t xml:space="preserve">buvo </w:t>
      </w:r>
      <w:r w:rsidRPr="00340337">
        <w:rPr>
          <w:sz w:val="24"/>
          <w:szCs w:val="24"/>
        </w:rPr>
        <w:t>vertinamas nuomos išlaidas už vienerius metus susigrąžinant per sumokamą gyventojų pajamų mokestį (GPM), išlaikant darbo vietas ne mažiau kaip 36 mėn. Vertinant tik tiesioginį GPM atsiperkamumą nuo sukurtų darbo vietų, Klaipėdos miesto savivaldybei toks kompensavimo būdas atsipirktų per 6 mėn., vertinant GPM kartu su multiplikatoriaus efektu</w:t>
      </w:r>
      <w:r w:rsidRPr="00340337">
        <w:rPr>
          <w:vertAlign w:val="superscript"/>
        </w:rPr>
        <w:t xml:space="preserve">8 </w:t>
      </w:r>
      <w:r w:rsidRPr="00340337">
        <w:rPr>
          <w:rStyle w:val="Puslapioinaosnuoroda"/>
          <w:sz w:val="24"/>
          <w:szCs w:val="24"/>
        </w:rPr>
        <w:footnoteReference w:id="3"/>
      </w:r>
      <w:r w:rsidRPr="00340337">
        <w:rPr>
          <w:sz w:val="24"/>
          <w:szCs w:val="24"/>
        </w:rPr>
        <w:t xml:space="preserve">Klaipėdos miesto savivaldybei tai atsipirktų per 3 mėn. Pavyzdžiui, suteikus </w:t>
      </w:r>
      <w:r w:rsidR="00340337">
        <w:rPr>
          <w:sz w:val="24"/>
          <w:szCs w:val="24"/>
        </w:rPr>
        <w:t xml:space="preserve">tokios finansinės paramos priemonės paramą </w:t>
      </w:r>
      <w:r w:rsidRPr="00340337">
        <w:rPr>
          <w:sz w:val="24"/>
          <w:szCs w:val="24"/>
        </w:rPr>
        <w:t xml:space="preserve">paslaugų centrui sukūrusiam 20 darbo vietų, paramos suma sudarytų 19200 EUR, per 3 metus į Klaipėdos miesto savivaldybės biudžetą būtų papildomai surinkta 150 360 Eur GPM; įvertinus multiplikatoriaus </w:t>
      </w:r>
      <w:r w:rsidRPr="00340337">
        <w:rPr>
          <w:rStyle w:val="Puslapioinaosnuoroda"/>
          <w:sz w:val="24"/>
          <w:szCs w:val="24"/>
        </w:rPr>
        <w:footnoteReference w:id="4"/>
      </w:r>
      <w:r w:rsidR="00340337">
        <w:rPr>
          <w:sz w:val="24"/>
          <w:szCs w:val="24"/>
        </w:rPr>
        <w:t xml:space="preserve"> </w:t>
      </w:r>
      <w:r w:rsidRPr="00340337">
        <w:rPr>
          <w:sz w:val="24"/>
          <w:szCs w:val="24"/>
        </w:rPr>
        <w:t>efektą - 222 295 Eur</w:t>
      </w:r>
      <w:r w:rsidR="00340337">
        <w:rPr>
          <w:sz w:val="24"/>
          <w:szCs w:val="24"/>
        </w:rPr>
        <w:t>.</w:t>
      </w:r>
    </w:p>
    <w:p w14:paraId="05B7A3A3" w14:textId="77777777" w:rsidR="00A407B1" w:rsidRPr="00340337" w:rsidRDefault="00A407B1" w:rsidP="00A407B1">
      <w:pPr>
        <w:tabs>
          <w:tab w:val="left" w:pos="2856"/>
        </w:tabs>
        <w:jc w:val="both"/>
        <w:rPr>
          <w:sz w:val="24"/>
          <w:szCs w:val="24"/>
        </w:rPr>
      </w:pPr>
    </w:p>
    <w:p w14:paraId="46ED64C9" w14:textId="77777777" w:rsidR="002153C1" w:rsidRPr="00340337" w:rsidRDefault="002153C1" w:rsidP="003E194A">
      <w:pPr>
        <w:ind w:firstLine="748"/>
        <w:jc w:val="both"/>
        <w:rPr>
          <w:sz w:val="24"/>
          <w:szCs w:val="24"/>
        </w:rPr>
      </w:pPr>
      <w:r w:rsidRPr="00340337">
        <w:rPr>
          <w:b/>
          <w:sz w:val="24"/>
          <w:szCs w:val="24"/>
        </w:rPr>
        <w:t>6. Lėšų poreikis sprendimo įgyvendinimui</w:t>
      </w:r>
      <w:r w:rsidRPr="00340337">
        <w:rPr>
          <w:b/>
          <w:bCs/>
          <w:sz w:val="24"/>
          <w:szCs w:val="24"/>
        </w:rPr>
        <w:t>.</w:t>
      </w:r>
    </w:p>
    <w:p w14:paraId="46ED64CA" w14:textId="0087F910" w:rsidR="002153C1" w:rsidRPr="00340337" w:rsidRDefault="009A6DF9" w:rsidP="003E194A">
      <w:pPr>
        <w:ind w:firstLine="748"/>
        <w:jc w:val="both"/>
        <w:rPr>
          <w:bCs/>
          <w:sz w:val="24"/>
          <w:szCs w:val="24"/>
        </w:rPr>
      </w:pPr>
      <w:r>
        <w:rPr>
          <w:bCs/>
          <w:sz w:val="24"/>
          <w:szCs w:val="24"/>
        </w:rPr>
        <w:t>Tvirtinant šį sprendimo projektą p</w:t>
      </w:r>
      <w:r w:rsidR="002153C1" w:rsidRPr="00340337">
        <w:rPr>
          <w:bCs/>
          <w:sz w:val="24"/>
          <w:szCs w:val="24"/>
        </w:rPr>
        <w:t>apildomų lėšų nereikia.</w:t>
      </w:r>
      <w:r>
        <w:rPr>
          <w:bCs/>
          <w:sz w:val="24"/>
          <w:szCs w:val="24"/>
        </w:rPr>
        <w:t xml:space="preserve"> Tačiau šio sprendimo projekto pagrindu būtų planuojamas 2020-2022 m. Klaipėdos miesto savivaldybės strateginis veiklos planas bei biudžetas, kuriame pagal pasirinktas finansinės paramos priemones reiktų planuotis atitinkamus asignavimus.  </w:t>
      </w:r>
    </w:p>
    <w:p w14:paraId="7FB5A754" w14:textId="77777777" w:rsidR="00340337" w:rsidRDefault="00340337" w:rsidP="003E194A">
      <w:pPr>
        <w:ind w:firstLine="748"/>
        <w:jc w:val="both"/>
        <w:rPr>
          <w:b/>
          <w:bCs/>
          <w:sz w:val="24"/>
          <w:szCs w:val="24"/>
        </w:rPr>
      </w:pPr>
    </w:p>
    <w:p w14:paraId="46ED64CB" w14:textId="08C16E6B" w:rsidR="002153C1" w:rsidRPr="00340337" w:rsidRDefault="002153C1" w:rsidP="003E194A">
      <w:pPr>
        <w:ind w:firstLine="748"/>
        <w:jc w:val="both"/>
        <w:rPr>
          <w:b/>
          <w:sz w:val="24"/>
          <w:szCs w:val="24"/>
        </w:rPr>
      </w:pPr>
      <w:r w:rsidRPr="00340337">
        <w:rPr>
          <w:b/>
          <w:bCs/>
          <w:sz w:val="24"/>
          <w:szCs w:val="24"/>
        </w:rPr>
        <w:t>7. Galimos teigiamos ar neigiamos sprendimo priėmimo pasekmės.</w:t>
      </w:r>
    </w:p>
    <w:p w14:paraId="2C8B93F7" w14:textId="2EC885FD" w:rsidR="00356647" w:rsidRPr="00340337" w:rsidRDefault="00356647" w:rsidP="00356647">
      <w:pPr>
        <w:ind w:firstLine="720"/>
        <w:jc w:val="both"/>
        <w:rPr>
          <w:bCs/>
          <w:sz w:val="24"/>
          <w:szCs w:val="24"/>
        </w:rPr>
      </w:pPr>
      <w:r w:rsidRPr="00340337">
        <w:rPr>
          <w:bCs/>
          <w:sz w:val="24"/>
          <w:szCs w:val="24"/>
        </w:rPr>
        <w:t xml:space="preserve">Galimos teigiamos pasekmės, patvirtinus Aprašą ir pradėjus taikyti įvairias finansinės paramos priemones: </w:t>
      </w:r>
    </w:p>
    <w:p w14:paraId="5BBEDD96" w14:textId="77777777" w:rsidR="00356647" w:rsidRPr="00340337" w:rsidRDefault="00356647" w:rsidP="00356647">
      <w:pPr>
        <w:pStyle w:val="Sraopastraipa"/>
        <w:numPr>
          <w:ilvl w:val="0"/>
          <w:numId w:val="10"/>
        </w:numPr>
        <w:tabs>
          <w:tab w:val="left" w:pos="1134"/>
        </w:tabs>
        <w:ind w:left="0" w:firstLine="709"/>
        <w:jc w:val="both"/>
        <w:rPr>
          <w:bCs/>
          <w:sz w:val="24"/>
          <w:szCs w:val="24"/>
        </w:rPr>
      </w:pPr>
      <w:r w:rsidRPr="00340337">
        <w:rPr>
          <w:bCs/>
          <w:sz w:val="24"/>
          <w:szCs w:val="24"/>
        </w:rPr>
        <w:t>sukurtos gerai apmokamos ir pridėtinę vertę kuriančios darbo vietos;</w:t>
      </w:r>
    </w:p>
    <w:p w14:paraId="4BAAF2EC" w14:textId="77777777" w:rsidR="00356647" w:rsidRPr="00340337" w:rsidRDefault="00356647" w:rsidP="00356647">
      <w:pPr>
        <w:pStyle w:val="Sraopastraipa"/>
        <w:numPr>
          <w:ilvl w:val="0"/>
          <w:numId w:val="10"/>
        </w:numPr>
        <w:tabs>
          <w:tab w:val="left" w:pos="1134"/>
        </w:tabs>
        <w:ind w:left="0" w:firstLine="709"/>
        <w:jc w:val="both"/>
        <w:rPr>
          <w:bCs/>
          <w:sz w:val="24"/>
          <w:szCs w:val="24"/>
        </w:rPr>
      </w:pPr>
      <w:r w:rsidRPr="00340337">
        <w:rPr>
          <w:bCs/>
          <w:sz w:val="24"/>
          <w:szCs w:val="24"/>
        </w:rPr>
        <w:t>p</w:t>
      </w:r>
      <w:r w:rsidR="00A4682A" w:rsidRPr="00340337">
        <w:rPr>
          <w:bCs/>
          <w:sz w:val="24"/>
          <w:szCs w:val="24"/>
        </w:rPr>
        <w:t xml:space="preserve">aslaugų centrų </w:t>
      </w:r>
      <w:r w:rsidRPr="00340337">
        <w:rPr>
          <w:bCs/>
          <w:sz w:val="24"/>
          <w:szCs w:val="24"/>
        </w:rPr>
        <w:t>plėtra Klaipėdoje;</w:t>
      </w:r>
    </w:p>
    <w:p w14:paraId="01846490" w14:textId="77777777" w:rsidR="00356647" w:rsidRPr="00340337" w:rsidRDefault="00356647" w:rsidP="00356647">
      <w:pPr>
        <w:pStyle w:val="Sraopastraipa"/>
        <w:numPr>
          <w:ilvl w:val="0"/>
          <w:numId w:val="10"/>
        </w:numPr>
        <w:tabs>
          <w:tab w:val="left" w:pos="1134"/>
        </w:tabs>
        <w:ind w:left="0" w:firstLine="709"/>
        <w:jc w:val="both"/>
        <w:rPr>
          <w:bCs/>
          <w:sz w:val="24"/>
          <w:szCs w:val="24"/>
        </w:rPr>
      </w:pPr>
      <w:r w:rsidRPr="00340337">
        <w:rPr>
          <w:bCs/>
          <w:sz w:val="24"/>
          <w:szCs w:val="24"/>
        </w:rPr>
        <w:t>p</w:t>
      </w:r>
      <w:r w:rsidR="00A4682A" w:rsidRPr="00340337">
        <w:rPr>
          <w:bCs/>
          <w:sz w:val="24"/>
          <w:szCs w:val="24"/>
        </w:rPr>
        <w:t>agerėję kokybin</w:t>
      </w:r>
      <w:r w:rsidRPr="00340337">
        <w:rPr>
          <w:bCs/>
          <w:sz w:val="24"/>
          <w:szCs w:val="24"/>
        </w:rPr>
        <w:t xml:space="preserve">iai </w:t>
      </w:r>
      <w:r w:rsidR="00A4682A" w:rsidRPr="00340337">
        <w:rPr>
          <w:bCs/>
          <w:sz w:val="24"/>
          <w:szCs w:val="24"/>
        </w:rPr>
        <w:t>/</w:t>
      </w:r>
      <w:r w:rsidRPr="00340337">
        <w:rPr>
          <w:bCs/>
          <w:sz w:val="24"/>
          <w:szCs w:val="24"/>
        </w:rPr>
        <w:t xml:space="preserve"> </w:t>
      </w:r>
      <w:r w:rsidR="00A4682A" w:rsidRPr="00340337">
        <w:rPr>
          <w:bCs/>
          <w:sz w:val="24"/>
          <w:szCs w:val="24"/>
        </w:rPr>
        <w:t>kiekybin</w:t>
      </w:r>
      <w:r w:rsidRPr="00340337">
        <w:rPr>
          <w:bCs/>
          <w:sz w:val="24"/>
          <w:szCs w:val="24"/>
        </w:rPr>
        <w:t xml:space="preserve">iai </w:t>
      </w:r>
      <w:r w:rsidR="00A4682A" w:rsidRPr="00340337">
        <w:rPr>
          <w:bCs/>
          <w:sz w:val="24"/>
          <w:szCs w:val="24"/>
        </w:rPr>
        <w:t>švietimo sistemos rodikliai;</w:t>
      </w:r>
    </w:p>
    <w:p w14:paraId="2397C510" w14:textId="77777777" w:rsidR="00356647" w:rsidRPr="00340337" w:rsidRDefault="00356647" w:rsidP="00356647">
      <w:pPr>
        <w:pStyle w:val="Sraopastraipa"/>
        <w:numPr>
          <w:ilvl w:val="0"/>
          <w:numId w:val="10"/>
        </w:numPr>
        <w:tabs>
          <w:tab w:val="left" w:pos="1134"/>
        </w:tabs>
        <w:ind w:left="0" w:firstLine="709"/>
        <w:jc w:val="both"/>
        <w:rPr>
          <w:bCs/>
          <w:sz w:val="24"/>
          <w:szCs w:val="24"/>
        </w:rPr>
      </w:pPr>
      <w:r w:rsidRPr="00340337">
        <w:rPr>
          <w:bCs/>
          <w:sz w:val="24"/>
          <w:szCs w:val="24"/>
        </w:rPr>
        <w:t>n</w:t>
      </w:r>
      <w:r w:rsidR="00A4682A" w:rsidRPr="00340337">
        <w:rPr>
          <w:bCs/>
          <w:sz w:val="24"/>
          <w:szCs w:val="24"/>
        </w:rPr>
        <w:t>ekilnojamojo turto Administracinių patalpų (biurų) pasiūlos atsigavimas vystant naujus administracinių patalpų statybos projektus;</w:t>
      </w:r>
    </w:p>
    <w:p w14:paraId="64BAE0D2" w14:textId="77777777" w:rsidR="00356647" w:rsidRPr="00340337" w:rsidRDefault="00356647" w:rsidP="00356647">
      <w:pPr>
        <w:pStyle w:val="Sraopastraipa"/>
        <w:numPr>
          <w:ilvl w:val="0"/>
          <w:numId w:val="10"/>
        </w:numPr>
        <w:tabs>
          <w:tab w:val="left" w:pos="1134"/>
        </w:tabs>
        <w:ind w:left="0" w:firstLine="709"/>
        <w:jc w:val="both"/>
        <w:rPr>
          <w:bCs/>
          <w:sz w:val="24"/>
          <w:szCs w:val="24"/>
        </w:rPr>
      </w:pPr>
      <w:r w:rsidRPr="00340337">
        <w:rPr>
          <w:bCs/>
          <w:sz w:val="24"/>
          <w:szCs w:val="24"/>
        </w:rPr>
        <w:t>t</w:t>
      </w:r>
      <w:r w:rsidR="00A4682A" w:rsidRPr="00340337">
        <w:rPr>
          <w:bCs/>
          <w:sz w:val="24"/>
          <w:szCs w:val="24"/>
        </w:rPr>
        <w:t>alentų pritraukimas;</w:t>
      </w:r>
    </w:p>
    <w:p w14:paraId="31431E1B" w14:textId="77777777" w:rsidR="00356647" w:rsidRPr="00340337" w:rsidRDefault="00356647" w:rsidP="00356647">
      <w:pPr>
        <w:pStyle w:val="Sraopastraipa"/>
        <w:numPr>
          <w:ilvl w:val="0"/>
          <w:numId w:val="10"/>
        </w:numPr>
        <w:tabs>
          <w:tab w:val="left" w:pos="1134"/>
        </w:tabs>
        <w:ind w:left="0" w:firstLine="709"/>
        <w:jc w:val="both"/>
        <w:rPr>
          <w:bCs/>
          <w:sz w:val="24"/>
          <w:szCs w:val="24"/>
        </w:rPr>
      </w:pPr>
      <w:r w:rsidRPr="00340337">
        <w:rPr>
          <w:bCs/>
          <w:sz w:val="24"/>
          <w:szCs w:val="24"/>
        </w:rPr>
        <w:t>e</w:t>
      </w:r>
      <w:r w:rsidR="00A4682A" w:rsidRPr="00340337">
        <w:rPr>
          <w:bCs/>
          <w:sz w:val="24"/>
          <w:szCs w:val="24"/>
        </w:rPr>
        <w:t>konominė nauda Klaipėdai;</w:t>
      </w:r>
    </w:p>
    <w:p w14:paraId="0149320F" w14:textId="0B9E9954" w:rsidR="00A4682A" w:rsidRPr="00340337" w:rsidRDefault="00356647" w:rsidP="00356647">
      <w:pPr>
        <w:pStyle w:val="Sraopastraipa"/>
        <w:numPr>
          <w:ilvl w:val="0"/>
          <w:numId w:val="10"/>
        </w:numPr>
        <w:tabs>
          <w:tab w:val="left" w:pos="1134"/>
        </w:tabs>
        <w:ind w:left="0" w:firstLine="709"/>
        <w:jc w:val="both"/>
        <w:rPr>
          <w:bCs/>
          <w:sz w:val="24"/>
          <w:szCs w:val="24"/>
        </w:rPr>
      </w:pPr>
      <w:r w:rsidRPr="00340337">
        <w:rPr>
          <w:bCs/>
          <w:sz w:val="24"/>
          <w:szCs w:val="24"/>
        </w:rPr>
        <w:t>p</w:t>
      </w:r>
      <w:r w:rsidR="00A4682A" w:rsidRPr="00340337">
        <w:rPr>
          <w:bCs/>
          <w:sz w:val="24"/>
          <w:szCs w:val="24"/>
        </w:rPr>
        <w:t>aslaugų centrai augina rinkoje esančių darbuotojų kompetenciją, kas lemia naujų investuotojų atsiradimą;</w:t>
      </w:r>
    </w:p>
    <w:p w14:paraId="71FE6828" w14:textId="64A9D378" w:rsidR="00B555F1" w:rsidRPr="00340337" w:rsidRDefault="00A4682A" w:rsidP="00B555F1">
      <w:pPr>
        <w:ind w:firstLine="709"/>
        <w:jc w:val="both"/>
        <w:rPr>
          <w:bCs/>
          <w:sz w:val="24"/>
          <w:szCs w:val="24"/>
        </w:rPr>
      </w:pPr>
      <w:r w:rsidRPr="00340337">
        <w:rPr>
          <w:bCs/>
          <w:sz w:val="24"/>
          <w:szCs w:val="24"/>
        </w:rPr>
        <w:t>Neigiamos sprendimo pasekmės</w:t>
      </w:r>
      <w:r w:rsidR="00B555F1" w:rsidRPr="00340337">
        <w:rPr>
          <w:bCs/>
          <w:sz w:val="24"/>
          <w:szCs w:val="24"/>
        </w:rPr>
        <w:t xml:space="preserve"> - </w:t>
      </w:r>
      <w:r w:rsidR="00356647" w:rsidRPr="00340337">
        <w:rPr>
          <w:bCs/>
          <w:sz w:val="24"/>
          <w:szCs w:val="24"/>
        </w:rPr>
        <w:t>g</w:t>
      </w:r>
      <w:r w:rsidRPr="00340337">
        <w:rPr>
          <w:bCs/>
          <w:sz w:val="24"/>
          <w:szCs w:val="24"/>
        </w:rPr>
        <w:t xml:space="preserve">alima rizika, kad </w:t>
      </w:r>
      <w:r w:rsidR="00356647" w:rsidRPr="00340337">
        <w:rPr>
          <w:bCs/>
          <w:sz w:val="24"/>
          <w:szCs w:val="24"/>
        </w:rPr>
        <w:t xml:space="preserve">investuotojai nepasieks </w:t>
      </w:r>
      <w:r w:rsidR="00B555F1" w:rsidRPr="00340337">
        <w:rPr>
          <w:bCs/>
          <w:sz w:val="24"/>
          <w:szCs w:val="24"/>
        </w:rPr>
        <w:t xml:space="preserve">projekte numatytų rodiklių. </w:t>
      </w:r>
      <w:r w:rsidRPr="00340337">
        <w:rPr>
          <w:bCs/>
          <w:sz w:val="24"/>
          <w:szCs w:val="24"/>
        </w:rPr>
        <w:t xml:space="preserve">Šiai rizikai suvaldyti </w:t>
      </w:r>
      <w:r w:rsidR="00B555F1" w:rsidRPr="00340337">
        <w:rPr>
          <w:bCs/>
          <w:sz w:val="24"/>
          <w:szCs w:val="24"/>
        </w:rPr>
        <w:t>sutartyje turėtų būti numatyta, kad lėšų kompensavimas vykdomas už pasiektus rezultatus.</w:t>
      </w:r>
    </w:p>
    <w:p w14:paraId="46ED64CD" w14:textId="77777777" w:rsidR="00B40898" w:rsidRPr="00340337" w:rsidRDefault="00B40898" w:rsidP="003E194A">
      <w:pPr>
        <w:ind w:right="-82" w:firstLine="748"/>
        <w:rPr>
          <w:b/>
          <w:sz w:val="24"/>
          <w:szCs w:val="24"/>
        </w:rPr>
      </w:pPr>
    </w:p>
    <w:p w14:paraId="46ED64D2" w14:textId="77777777" w:rsidR="002153C1" w:rsidRPr="00340337" w:rsidRDefault="002153C1" w:rsidP="003E194A">
      <w:pPr>
        <w:ind w:right="-81"/>
        <w:jc w:val="both"/>
        <w:rPr>
          <w:sz w:val="24"/>
          <w:szCs w:val="24"/>
        </w:rPr>
      </w:pPr>
      <w:r w:rsidRPr="00340337">
        <w:rPr>
          <w:sz w:val="24"/>
          <w:szCs w:val="24"/>
        </w:rPr>
        <w:t xml:space="preserve">            </w:t>
      </w:r>
    </w:p>
    <w:p w14:paraId="46ED64D3" w14:textId="77777777" w:rsidR="008A6C5C" w:rsidRPr="00340337" w:rsidRDefault="008A6C5C" w:rsidP="003E194A">
      <w:pPr>
        <w:tabs>
          <w:tab w:val="left" w:pos="7854"/>
        </w:tabs>
        <w:ind w:right="-82"/>
        <w:rPr>
          <w:sz w:val="24"/>
          <w:szCs w:val="24"/>
        </w:rPr>
      </w:pPr>
    </w:p>
    <w:p w14:paraId="46ED64D4" w14:textId="0D276976" w:rsidR="002153C1" w:rsidRPr="00340337" w:rsidRDefault="00901A2E" w:rsidP="003E194A">
      <w:pPr>
        <w:tabs>
          <w:tab w:val="left" w:pos="7854"/>
        </w:tabs>
        <w:ind w:right="-82"/>
        <w:rPr>
          <w:sz w:val="24"/>
          <w:szCs w:val="24"/>
        </w:rPr>
      </w:pPr>
      <w:r w:rsidRPr="00340337">
        <w:rPr>
          <w:sz w:val="24"/>
          <w:szCs w:val="24"/>
        </w:rPr>
        <w:t>Tarptautinių ryšių ir ekonominės plėtros skyriaus vedėja</w:t>
      </w:r>
      <w:r w:rsidRPr="00340337">
        <w:rPr>
          <w:sz w:val="24"/>
          <w:szCs w:val="24"/>
        </w:rPr>
        <w:tab/>
        <w:t>Jurgita Činauskaitė</w:t>
      </w:r>
    </w:p>
    <w:p w14:paraId="46ED64D5" w14:textId="77777777" w:rsidR="002153C1" w:rsidRPr="00340337" w:rsidRDefault="002153C1" w:rsidP="003E194A">
      <w:pPr>
        <w:tabs>
          <w:tab w:val="left" w:pos="7854"/>
        </w:tabs>
        <w:ind w:right="-82"/>
        <w:rPr>
          <w:sz w:val="24"/>
          <w:szCs w:val="24"/>
        </w:rPr>
      </w:pPr>
    </w:p>
    <w:sectPr w:rsidR="002153C1" w:rsidRPr="00340337" w:rsidSect="00A72A47">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D64D8" w14:textId="77777777" w:rsidR="00356647" w:rsidRDefault="00356647" w:rsidP="00F41647">
      <w:r>
        <w:separator/>
      </w:r>
    </w:p>
  </w:endnote>
  <w:endnote w:type="continuationSeparator" w:id="0">
    <w:p w14:paraId="46ED64D9" w14:textId="77777777" w:rsidR="00356647" w:rsidRDefault="00356647"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D64D6" w14:textId="77777777" w:rsidR="00356647" w:rsidRDefault="00356647" w:rsidP="00F41647">
      <w:r>
        <w:separator/>
      </w:r>
    </w:p>
  </w:footnote>
  <w:footnote w:type="continuationSeparator" w:id="0">
    <w:p w14:paraId="46ED64D7" w14:textId="77777777" w:rsidR="00356647" w:rsidRDefault="00356647" w:rsidP="00F41647">
      <w:r>
        <w:continuationSeparator/>
      </w:r>
    </w:p>
  </w:footnote>
  <w:footnote w:id="1">
    <w:p w14:paraId="58F8C31E" w14:textId="77777777" w:rsidR="00356647" w:rsidRDefault="00356647" w:rsidP="00A4180A">
      <w:pPr>
        <w:pStyle w:val="Puslapioinaostekstas"/>
      </w:pPr>
      <w:r>
        <w:rPr>
          <w:rStyle w:val="Puslapioinaosnuoroda"/>
        </w:rPr>
        <w:footnoteRef/>
      </w:r>
      <w:r>
        <w:t xml:space="preserve"> Lietuvos statistikos departamentas, 2018</w:t>
      </w:r>
    </w:p>
  </w:footnote>
  <w:footnote w:id="2">
    <w:p w14:paraId="51C64BC3" w14:textId="77777777" w:rsidR="00356647" w:rsidRDefault="00356647" w:rsidP="00A31C5F">
      <w:pPr>
        <w:pStyle w:val="Puslapioinaostekstas"/>
      </w:pPr>
      <w:r>
        <w:rPr>
          <w:rStyle w:val="Puslapioinaosnuoroda"/>
        </w:rPr>
        <w:footnoteRef/>
      </w:r>
      <w:r>
        <w:t xml:space="preserve"> Klaipėda ID, 2018</w:t>
      </w:r>
    </w:p>
  </w:footnote>
  <w:footnote w:id="3">
    <w:p w14:paraId="5F56BEAB" w14:textId="77777777" w:rsidR="00356647" w:rsidRDefault="00356647" w:rsidP="002E54E3">
      <w:pPr>
        <w:pStyle w:val="Puslapioinaostekstas"/>
      </w:pPr>
      <w:r>
        <w:rPr>
          <w:rStyle w:val="Puslapioinaosnuoroda"/>
        </w:rPr>
        <w:footnoteRef/>
      </w:r>
      <w:r>
        <w:t xml:space="preserve">  Newsec duomenys 2018</w:t>
      </w:r>
    </w:p>
    <w:p w14:paraId="1DDD9401" w14:textId="77777777" w:rsidR="00356647" w:rsidRPr="00C209FE" w:rsidRDefault="00356647" w:rsidP="002E54E3">
      <w:pPr>
        <w:pStyle w:val="Puslapioinaostekstas"/>
        <w:rPr>
          <w:lang w:val="en-US"/>
        </w:rPr>
      </w:pPr>
      <w:r w:rsidRPr="0056034F">
        <w:rPr>
          <w:vertAlign w:val="superscript"/>
        </w:rPr>
        <w:t>8</w:t>
      </w:r>
      <w:r>
        <w:t xml:space="preserve"> Multiplikatoriaus efekto skaičiavimo metodika aprašyta čia: </w:t>
      </w:r>
      <w:hyperlink r:id="rId1" w:history="1">
        <w:r w:rsidRPr="00E21C67">
          <w:rPr>
            <w:rStyle w:val="Hipersaitas"/>
          </w:rPr>
          <w:t>https://investlithuania.com/wp-content/uploads/2017/09/Multiplikatoriaus-efektas.pdf</w:t>
        </w:r>
      </w:hyperlink>
    </w:p>
  </w:footnote>
  <w:footnote w:id="4">
    <w:p w14:paraId="5883BF7B" w14:textId="77777777" w:rsidR="00356647" w:rsidRDefault="00356647" w:rsidP="002E54E3">
      <w:pPr>
        <w:pStyle w:val="Puslapioinaostekstas"/>
      </w:pPr>
      <w:r w:rsidRPr="00B4796E">
        <w:rPr>
          <w:vertAlign w:val="superscript"/>
        </w:rPr>
        <w:t>9</w:t>
      </w:r>
      <w:r>
        <w:t xml:space="preserve"> Verta pabrėžti, jog GPM skaičiavimai remiasi prielaida, jog visi darbuotojai, kurios įdarbins Investuotojas mokės GPM į Klaipėdos miesto biudžetą. Realus GPM surinkimas dėl šios priežasties gali svyruoti. Dėl santykinai nedidelės paskatos sumos lyginant su visais Investuotojo patiriamais kaštais, manome, jog reikalavimas dokumentais pagrįsti, jog visi darbuotojai moka GPM į Klaipėdos miesto biudžetą būtų perteklinis, atgrasytų potencialius investuotojus nuo paraiškos teikimo ir tokiu būdu nebūtų pasiektas paskatos tikslas.</w:t>
      </w:r>
    </w:p>
    <w:p w14:paraId="5155B8B6" w14:textId="77777777" w:rsidR="00356647" w:rsidRPr="0018731A" w:rsidRDefault="00356647" w:rsidP="002E54E3">
      <w:pPr>
        <w:pStyle w:val="Puslapioinaostekstas"/>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315"/>
    <w:multiLevelType w:val="hybridMultilevel"/>
    <w:tmpl w:val="67F6AB46"/>
    <w:lvl w:ilvl="0" w:tplc="70BC762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B0446ED"/>
    <w:multiLevelType w:val="hybridMultilevel"/>
    <w:tmpl w:val="97DC42BC"/>
    <w:lvl w:ilvl="0" w:tplc="EE70001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1D5742"/>
    <w:multiLevelType w:val="hybridMultilevel"/>
    <w:tmpl w:val="A3267BF2"/>
    <w:lvl w:ilvl="0" w:tplc="A004616A">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0C54F19"/>
    <w:multiLevelType w:val="hybridMultilevel"/>
    <w:tmpl w:val="2C5EA1B2"/>
    <w:lvl w:ilvl="0" w:tplc="6108EA5A">
      <w:start w:val="1"/>
      <w:numFmt w:val="decimal"/>
      <w:lvlText w:val="%1."/>
      <w:lvlJc w:val="left"/>
      <w:pPr>
        <w:ind w:left="1108" w:hanging="360"/>
      </w:pPr>
      <w:rPr>
        <w:rFonts w:hint="default"/>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abstractNum w:abstractNumId="4" w15:restartNumberingAfterBreak="0">
    <w:nsid w:val="2AF122D7"/>
    <w:multiLevelType w:val="hybridMultilevel"/>
    <w:tmpl w:val="06AC7438"/>
    <w:lvl w:ilvl="0" w:tplc="20C466CC">
      <w:start w:val="1"/>
      <w:numFmt w:val="decimal"/>
      <w:lvlText w:val="%1."/>
      <w:lvlJc w:val="left"/>
      <w:pPr>
        <w:ind w:left="1108" w:hanging="360"/>
      </w:pPr>
      <w:rPr>
        <w:rFonts w:ascii="Times New Roman" w:eastAsia="Times New Roman" w:hAnsi="Times New Roman" w:cs="Times New Roman"/>
        <w:b w:val="0"/>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abstractNum w:abstractNumId="5" w15:restartNumberingAfterBreak="0">
    <w:nsid w:val="34E314C2"/>
    <w:multiLevelType w:val="hybridMultilevel"/>
    <w:tmpl w:val="531CC6EA"/>
    <w:lvl w:ilvl="0" w:tplc="5D6ED73A">
      <w:start w:val="2"/>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397323EF"/>
    <w:multiLevelType w:val="hybridMultilevel"/>
    <w:tmpl w:val="D2F00126"/>
    <w:lvl w:ilvl="0" w:tplc="4CFE30F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3B5D16E9"/>
    <w:multiLevelType w:val="hybridMultilevel"/>
    <w:tmpl w:val="E8FA716C"/>
    <w:lvl w:ilvl="0" w:tplc="BF18A8C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2943542"/>
    <w:multiLevelType w:val="hybridMultilevel"/>
    <w:tmpl w:val="EF82EBE4"/>
    <w:lvl w:ilvl="0" w:tplc="EEE8F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7334D3F"/>
    <w:multiLevelType w:val="hybridMultilevel"/>
    <w:tmpl w:val="113EC114"/>
    <w:lvl w:ilvl="0" w:tplc="43080B9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6E4406F0"/>
    <w:multiLevelType w:val="hybridMultilevel"/>
    <w:tmpl w:val="78827B36"/>
    <w:lvl w:ilvl="0" w:tplc="848219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2"/>
  </w:num>
  <w:num w:numId="5">
    <w:abstractNumId w:val="10"/>
  </w:num>
  <w:num w:numId="6">
    <w:abstractNumId w:val="0"/>
  </w:num>
  <w:num w:numId="7">
    <w:abstractNumId w:val="5"/>
  </w:num>
  <w:num w:numId="8">
    <w:abstractNumId w:val="6"/>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7DA4"/>
    <w:rsid w:val="00051916"/>
    <w:rsid w:val="00051A4E"/>
    <w:rsid w:val="00071EBB"/>
    <w:rsid w:val="000944BF"/>
    <w:rsid w:val="000A6AA9"/>
    <w:rsid w:val="000B494B"/>
    <w:rsid w:val="000B7806"/>
    <w:rsid w:val="000E6C34"/>
    <w:rsid w:val="000E6D66"/>
    <w:rsid w:val="00106DE9"/>
    <w:rsid w:val="00116F90"/>
    <w:rsid w:val="001444C8"/>
    <w:rsid w:val="001456CE"/>
    <w:rsid w:val="00163473"/>
    <w:rsid w:val="00165E50"/>
    <w:rsid w:val="001B01B1"/>
    <w:rsid w:val="001D1AE7"/>
    <w:rsid w:val="001F555C"/>
    <w:rsid w:val="0020233B"/>
    <w:rsid w:val="002153C1"/>
    <w:rsid w:val="00226764"/>
    <w:rsid w:val="00227E6C"/>
    <w:rsid w:val="00237B69"/>
    <w:rsid w:val="00242831"/>
    <w:rsid w:val="00242B88"/>
    <w:rsid w:val="00276B28"/>
    <w:rsid w:val="00291226"/>
    <w:rsid w:val="002E54E3"/>
    <w:rsid w:val="002F5E80"/>
    <w:rsid w:val="00302CD5"/>
    <w:rsid w:val="00324750"/>
    <w:rsid w:val="003315CF"/>
    <w:rsid w:val="00340337"/>
    <w:rsid w:val="00343574"/>
    <w:rsid w:val="00344F61"/>
    <w:rsid w:val="00347F54"/>
    <w:rsid w:val="00354C87"/>
    <w:rsid w:val="00356647"/>
    <w:rsid w:val="00373B15"/>
    <w:rsid w:val="00384543"/>
    <w:rsid w:val="00391E0E"/>
    <w:rsid w:val="003A0B5A"/>
    <w:rsid w:val="003A3546"/>
    <w:rsid w:val="003C09F9"/>
    <w:rsid w:val="003E194A"/>
    <w:rsid w:val="003E2BF2"/>
    <w:rsid w:val="003E3B6E"/>
    <w:rsid w:val="003E5D65"/>
    <w:rsid w:val="003E603A"/>
    <w:rsid w:val="003F08BA"/>
    <w:rsid w:val="003F2BE5"/>
    <w:rsid w:val="00405B54"/>
    <w:rsid w:val="00405C83"/>
    <w:rsid w:val="004156CC"/>
    <w:rsid w:val="00433CCC"/>
    <w:rsid w:val="00445CA9"/>
    <w:rsid w:val="004545AD"/>
    <w:rsid w:val="00472954"/>
    <w:rsid w:val="00474F2C"/>
    <w:rsid w:val="004943AF"/>
    <w:rsid w:val="00495594"/>
    <w:rsid w:val="00496D98"/>
    <w:rsid w:val="004B1B4B"/>
    <w:rsid w:val="004C2864"/>
    <w:rsid w:val="004D137D"/>
    <w:rsid w:val="00516E89"/>
    <w:rsid w:val="00521EDA"/>
    <w:rsid w:val="00524DA3"/>
    <w:rsid w:val="0054047E"/>
    <w:rsid w:val="00540740"/>
    <w:rsid w:val="00576CF7"/>
    <w:rsid w:val="00577B54"/>
    <w:rsid w:val="0058726C"/>
    <w:rsid w:val="005A3D21"/>
    <w:rsid w:val="005C29DF"/>
    <w:rsid w:val="005C73A8"/>
    <w:rsid w:val="005E50A8"/>
    <w:rsid w:val="00601DAB"/>
    <w:rsid w:val="00606132"/>
    <w:rsid w:val="00615D90"/>
    <w:rsid w:val="00660358"/>
    <w:rsid w:val="006643BB"/>
    <w:rsid w:val="00664949"/>
    <w:rsid w:val="006824C4"/>
    <w:rsid w:val="00686FA2"/>
    <w:rsid w:val="006A09D2"/>
    <w:rsid w:val="006B429F"/>
    <w:rsid w:val="006C15EE"/>
    <w:rsid w:val="006E106A"/>
    <w:rsid w:val="006F416F"/>
    <w:rsid w:val="006F4715"/>
    <w:rsid w:val="00710820"/>
    <w:rsid w:val="007152BB"/>
    <w:rsid w:val="00723B52"/>
    <w:rsid w:val="00755DF5"/>
    <w:rsid w:val="00761AA1"/>
    <w:rsid w:val="007775F7"/>
    <w:rsid w:val="007858D6"/>
    <w:rsid w:val="007865AB"/>
    <w:rsid w:val="00787F62"/>
    <w:rsid w:val="007B0120"/>
    <w:rsid w:val="00801E4F"/>
    <w:rsid w:val="0081622E"/>
    <w:rsid w:val="0083267B"/>
    <w:rsid w:val="00841D6C"/>
    <w:rsid w:val="008609CE"/>
    <w:rsid w:val="008623E9"/>
    <w:rsid w:val="00864F6F"/>
    <w:rsid w:val="00871DCB"/>
    <w:rsid w:val="00893753"/>
    <w:rsid w:val="008A0D70"/>
    <w:rsid w:val="008A6C5C"/>
    <w:rsid w:val="008C6BDA"/>
    <w:rsid w:val="008D103E"/>
    <w:rsid w:val="008D3E3C"/>
    <w:rsid w:val="008D69DD"/>
    <w:rsid w:val="008E411C"/>
    <w:rsid w:val="008F665C"/>
    <w:rsid w:val="008F77DE"/>
    <w:rsid w:val="00901A2E"/>
    <w:rsid w:val="00932DDD"/>
    <w:rsid w:val="00945CD3"/>
    <w:rsid w:val="009517F8"/>
    <w:rsid w:val="00955E58"/>
    <w:rsid w:val="0096236D"/>
    <w:rsid w:val="009A6DF9"/>
    <w:rsid w:val="009C37F7"/>
    <w:rsid w:val="009F7CD7"/>
    <w:rsid w:val="00A1034C"/>
    <w:rsid w:val="00A221AA"/>
    <w:rsid w:val="00A268ED"/>
    <w:rsid w:val="00A31C5F"/>
    <w:rsid w:val="00A3260E"/>
    <w:rsid w:val="00A40264"/>
    <w:rsid w:val="00A407B1"/>
    <w:rsid w:val="00A4180A"/>
    <w:rsid w:val="00A44DC7"/>
    <w:rsid w:val="00A4682A"/>
    <w:rsid w:val="00A56070"/>
    <w:rsid w:val="00A72A47"/>
    <w:rsid w:val="00A75192"/>
    <w:rsid w:val="00A82208"/>
    <w:rsid w:val="00A8670A"/>
    <w:rsid w:val="00A9592B"/>
    <w:rsid w:val="00A95C0B"/>
    <w:rsid w:val="00AA4DF3"/>
    <w:rsid w:val="00AA5DFD"/>
    <w:rsid w:val="00AA67CE"/>
    <w:rsid w:val="00AB78AE"/>
    <w:rsid w:val="00AD2EE1"/>
    <w:rsid w:val="00B37B74"/>
    <w:rsid w:val="00B40258"/>
    <w:rsid w:val="00B40898"/>
    <w:rsid w:val="00B555F1"/>
    <w:rsid w:val="00B64645"/>
    <w:rsid w:val="00B66F4A"/>
    <w:rsid w:val="00B7320C"/>
    <w:rsid w:val="00B76286"/>
    <w:rsid w:val="00B77B88"/>
    <w:rsid w:val="00B77E68"/>
    <w:rsid w:val="00BB07E2"/>
    <w:rsid w:val="00BC35AA"/>
    <w:rsid w:val="00BD2663"/>
    <w:rsid w:val="00BE48DE"/>
    <w:rsid w:val="00C03E31"/>
    <w:rsid w:val="00C16E65"/>
    <w:rsid w:val="00C2220E"/>
    <w:rsid w:val="00C24EDC"/>
    <w:rsid w:val="00C33450"/>
    <w:rsid w:val="00C35D20"/>
    <w:rsid w:val="00C379E2"/>
    <w:rsid w:val="00C528B2"/>
    <w:rsid w:val="00C70A51"/>
    <w:rsid w:val="00C736FE"/>
    <w:rsid w:val="00C73DF4"/>
    <w:rsid w:val="00C87DE2"/>
    <w:rsid w:val="00CA7B58"/>
    <w:rsid w:val="00CB3E22"/>
    <w:rsid w:val="00CB7939"/>
    <w:rsid w:val="00CE4575"/>
    <w:rsid w:val="00D072F2"/>
    <w:rsid w:val="00D074B4"/>
    <w:rsid w:val="00D20B60"/>
    <w:rsid w:val="00D2354B"/>
    <w:rsid w:val="00D47A3C"/>
    <w:rsid w:val="00D6634C"/>
    <w:rsid w:val="00D81831"/>
    <w:rsid w:val="00DA18E7"/>
    <w:rsid w:val="00DC360C"/>
    <w:rsid w:val="00DD1756"/>
    <w:rsid w:val="00DD54B9"/>
    <w:rsid w:val="00DE0BFB"/>
    <w:rsid w:val="00DE5AE1"/>
    <w:rsid w:val="00E14A99"/>
    <w:rsid w:val="00E37B92"/>
    <w:rsid w:val="00E65B25"/>
    <w:rsid w:val="00E96582"/>
    <w:rsid w:val="00EA65AF"/>
    <w:rsid w:val="00EB4900"/>
    <w:rsid w:val="00EC10BA"/>
    <w:rsid w:val="00EC5237"/>
    <w:rsid w:val="00ED1DA5"/>
    <w:rsid w:val="00ED3397"/>
    <w:rsid w:val="00EF4F1A"/>
    <w:rsid w:val="00F11F11"/>
    <w:rsid w:val="00F148BB"/>
    <w:rsid w:val="00F33612"/>
    <w:rsid w:val="00F41647"/>
    <w:rsid w:val="00F5355C"/>
    <w:rsid w:val="00F54E2E"/>
    <w:rsid w:val="00F60107"/>
    <w:rsid w:val="00F71567"/>
    <w:rsid w:val="00F9229F"/>
    <w:rsid w:val="00FA79A3"/>
    <w:rsid w:val="00FB5A61"/>
    <w:rsid w:val="00FC6356"/>
    <w:rsid w:val="00FE273D"/>
    <w:rsid w:val="00FF4F2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D64BA"/>
  <w15:docId w15:val="{4476DE49-3D99-4213-8E83-CB9EB113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1E0E"/>
    <w:rPr>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rPr>
  </w:style>
  <w:style w:type="character" w:customStyle="1" w:styleId="PagrindinistekstasDiagrama">
    <w:name w:val="Pagrindinis tekstas Diagrama"/>
    <w:basedOn w:val="Numatytasispastraiposriftas"/>
    <w:link w:val="Pagrindinistekstas"/>
    <w:uiPriority w:val="99"/>
    <w:locked/>
    <w:rsid w:val="00ED3397"/>
    <w:rPr>
      <w:rFonts w:cs="Times New Roman"/>
      <w:sz w:val="24"/>
      <w:lang w:val="lt-LT"/>
    </w:rPr>
  </w:style>
  <w:style w:type="table" w:styleId="Lentelstinklelis">
    <w:name w:val="Table Grid"/>
    <w:basedOn w:val="prastojilentel"/>
    <w:uiPriority w:val="59"/>
    <w:rsid w:val="00163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locked/>
    <w:rsid w:val="00F41647"/>
    <w:rPr>
      <w:rFonts w:cs="Times New Roman"/>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basedOn w:val="Numatytasispastraiposriftas"/>
    <w:link w:val="Porat"/>
    <w:uiPriority w:val="99"/>
    <w:locked/>
    <w:rsid w:val="00F41647"/>
    <w:rPr>
      <w:rFonts w:cs="Times New Roman"/>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F41647"/>
    <w:rPr>
      <w:rFonts w:ascii="Tahoma" w:hAnsi="Tahoma" w:cs="Tahoma"/>
      <w:sz w:val="16"/>
      <w:szCs w:val="16"/>
      <w:lang w:val="lt-LT"/>
    </w:rPr>
  </w:style>
  <w:style w:type="character" w:styleId="Hipersaitas">
    <w:name w:val="Hyperlink"/>
    <w:basedOn w:val="Numatytasispastraiposriftas"/>
    <w:uiPriority w:val="99"/>
    <w:rsid w:val="00F41647"/>
    <w:rPr>
      <w:rFonts w:cs="Times New Roman"/>
      <w:color w:val="0000FF"/>
      <w:u w:val="single"/>
    </w:rPr>
  </w:style>
  <w:style w:type="character" w:customStyle="1" w:styleId="bigentry1">
    <w:name w:val="bigentry1"/>
    <w:basedOn w:val="Numatytasispastraiposriftas"/>
    <w:uiPriority w:val="99"/>
    <w:rsid w:val="00C73DF4"/>
    <w:rPr>
      <w:rFonts w:cs="Times New Roman"/>
    </w:rPr>
  </w:style>
  <w:style w:type="character" w:customStyle="1" w:styleId="CharChar">
    <w:name w:val="Char Char"/>
    <w:uiPriority w:val="99"/>
    <w:rsid w:val="003E194A"/>
    <w:rPr>
      <w:rFonts w:ascii="TimesLT" w:hAnsi="TimesLT"/>
      <w:lang w:val="lt-LT" w:eastAsia="en-US"/>
    </w:rPr>
  </w:style>
  <w:style w:type="paragraph" w:styleId="Sraopastraipa">
    <w:name w:val="List Paragraph"/>
    <w:basedOn w:val="prastasis"/>
    <w:uiPriority w:val="34"/>
    <w:qFormat/>
    <w:rsid w:val="00047DA4"/>
    <w:pPr>
      <w:ind w:left="720"/>
      <w:contextualSpacing/>
    </w:pPr>
  </w:style>
  <w:style w:type="paragraph" w:styleId="Puslapioinaostekstas">
    <w:name w:val="footnote text"/>
    <w:basedOn w:val="prastasis"/>
    <w:link w:val="PuslapioinaostekstasDiagrama"/>
    <w:semiHidden/>
    <w:unhideWhenUsed/>
    <w:rsid w:val="00A4180A"/>
  </w:style>
  <w:style w:type="character" w:customStyle="1" w:styleId="PuslapioinaostekstasDiagrama">
    <w:name w:val="Puslapio išnašos tekstas Diagrama"/>
    <w:basedOn w:val="Numatytasispastraiposriftas"/>
    <w:link w:val="Puslapioinaostekstas"/>
    <w:semiHidden/>
    <w:rsid w:val="00A4180A"/>
    <w:rPr>
      <w:sz w:val="20"/>
      <w:szCs w:val="20"/>
    </w:rPr>
  </w:style>
  <w:style w:type="character" w:styleId="Puslapioinaosnuoroda">
    <w:name w:val="footnote reference"/>
    <w:basedOn w:val="Numatytasispastraiposriftas"/>
    <w:semiHidden/>
    <w:unhideWhenUsed/>
    <w:rsid w:val="00A41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70773">
      <w:marLeft w:val="0"/>
      <w:marRight w:val="0"/>
      <w:marTop w:val="0"/>
      <w:marBottom w:val="0"/>
      <w:divBdr>
        <w:top w:val="none" w:sz="0" w:space="0" w:color="auto"/>
        <w:left w:val="none" w:sz="0" w:space="0" w:color="auto"/>
        <w:bottom w:val="none" w:sz="0" w:space="0" w:color="auto"/>
        <w:right w:val="none" w:sz="0" w:space="0" w:color="auto"/>
      </w:divBdr>
    </w:div>
    <w:div w:id="1570770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vestlithuania.com/wp-content/uploads/2017/09/Multiplikatoriaus-efekt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12952</Characters>
  <Application>Microsoft Office Word</Application>
  <DocSecurity>4</DocSecurity>
  <Lines>107</Lines>
  <Paragraphs>30</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Gabrielė Martusevičienė</dc:creator>
  <cp:lastModifiedBy>Virginija Palaimiene</cp:lastModifiedBy>
  <cp:revision>2</cp:revision>
  <dcterms:created xsi:type="dcterms:W3CDTF">2019-07-16T08:23:00Z</dcterms:created>
  <dcterms:modified xsi:type="dcterms:W3CDTF">2019-07-16T08:23:00Z</dcterms:modified>
</cp:coreProperties>
</file>