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E05D6" w14:textId="47AEF54A" w:rsidR="00B252A3" w:rsidRDefault="00B252A3" w:rsidP="00B252A3">
      <w:r>
        <w:t>Renaldas Kulikauskas</w:t>
      </w:r>
    </w:p>
    <w:p w14:paraId="1E050162" w14:textId="373CA90C" w:rsidR="00B252A3" w:rsidRDefault="00B252A3" w:rsidP="00B252A3">
      <w:r>
        <w:t>Senamiesčio seniūnaitijos seniūnai</w:t>
      </w:r>
      <w:r>
        <w:t>tis</w:t>
      </w:r>
    </w:p>
    <w:p w14:paraId="2D2DF1E0" w14:textId="41A5511C" w:rsidR="00B252A3" w:rsidRDefault="00B252A3" w:rsidP="00B252A3">
      <w:r>
        <w:t>8 616 27432, renaldask0414@gmail.com</w:t>
      </w:r>
    </w:p>
    <w:p w14:paraId="2DB1C9FA" w14:textId="0D1833D1" w:rsidR="00B252A3" w:rsidRDefault="00B252A3" w:rsidP="00B252A3">
      <w:pPr>
        <w:jc w:val="center"/>
      </w:pPr>
    </w:p>
    <w:p w14:paraId="74889803" w14:textId="77777777" w:rsidR="00B252A3" w:rsidRDefault="00B252A3" w:rsidP="00B252A3">
      <w:pPr>
        <w:jc w:val="center"/>
      </w:pPr>
    </w:p>
    <w:p w14:paraId="091036B2" w14:textId="3CB6086B" w:rsidR="00B252A3" w:rsidRDefault="00B252A3" w:rsidP="00B252A3">
      <w:pPr>
        <w:tabs>
          <w:tab w:val="left" w:pos="8460"/>
        </w:tabs>
      </w:pPr>
      <w:r>
        <w:t>Klaipėdos miesto savivaldybei</w:t>
      </w:r>
      <w:r>
        <w:tab/>
        <w:t>2020-01-31</w:t>
      </w:r>
    </w:p>
    <w:p w14:paraId="7FB14D79" w14:textId="77777777" w:rsidR="00B252A3" w:rsidRDefault="00B252A3" w:rsidP="00B252A3"/>
    <w:p w14:paraId="50644B4B" w14:textId="77777777" w:rsidR="00B252A3" w:rsidRDefault="00B252A3" w:rsidP="00B252A3">
      <w:pPr>
        <w:jc w:val="both"/>
      </w:pPr>
    </w:p>
    <w:p w14:paraId="3B0789B0" w14:textId="4FF612EB" w:rsidR="00B252A3" w:rsidRPr="00B252A3" w:rsidRDefault="00B252A3" w:rsidP="00B252A3">
      <w:pPr>
        <w:jc w:val="center"/>
        <w:rPr>
          <w:caps/>
        </w:rPr>
      </w:pPr>
      <w:r w:rsidRPr="00B252A3">
        <w:rPr>
          <w:caps/>
        </w:rPr>
        <w:t>klausimai, prašymai ir siūlymai 2020-2022 metų Klaipėdos strateginio veiklos plano rengėjams</w:t>
      </w:r>
    </w:p>
    <w:p w14:paraId="68C522EC" w14:textId="77777777" w:rsidR="00B252A3" w:rsidRDefault="00B252A3" w:rsidP="00B252A3">
      <w:pPr>
        <w:jc w:val="both"/>
      </w:pPr>
    </w:p>
    <w:p w14:paraId="52D7365A" w14:textId="77777777" w:rsidR="00B252A3" w:rsidRDefault="00B252A3" w:rsidP="00B252A3">
      <w:pPr>
        <w:jc w:val="both"/>
      </w:pPr>
    </w:p>
    <w:p w14:paraId="4F993F37" w14:textId="6DD9AD38" w:rsidR="00F66ED4" w:rsidRDefault="00BB6473" w:rsidP="008F181F">
      <w:pPr>
        <w:pStyle w:val="ListParagraph"/>
        <w:numPr>
          <w:ilvl w:val="0"/>
          <w:numId w:val="1"/>
        </w:numPr>
        <w:ind w:left="360"/>
        <w:jc w:val="both"/>
      </w:pPr>
      <w:r>
        <w:t>2020-2022 m. Klaipėdos miesto strateginio veiklos plano pristatym</w:t>
      </w:r>
      <w:r w:rsidR="002A638D">
        <w:t>o tekstinėje dalyje</w:t>
      </w:r>
      <w:r>
        <w:t xml:space="preserve"> teigiama, kad „</w:t>
      </w:r>
      <w:r w:rsidRPr="00BB6473">
        <w:t>Ateinančius tris metus Savivaldybės veikla bus koncentruota į</w:t>
      </w:r>
      <w:r w:rsidR="00F66ED4">
        <w:t>:</w:t>
      </w:r>
    </w:p>
    <w:p w14:paraId="7D042FA8" w14:textId="77777777" w:rsidR="00F66ED4" w:rsidRDefault="00BB6473" w:rsidP="008F181F">
      <w:pPr>
        <w:pStyle w:val="ListParagraph"/>
        <w:numPr>
          <w:ilvl w:val="1"/>
          <w:numId w:val="1"/>
        </w:numPr>
        <w:ind w:left="1260"/>
        <w:jc w:val="both"/>
      </w:pPr>
      <w:r w:rsidRPr="00BB6473">
        <w:t xml:space="preserve">aplinkosaugą, </w:t>
      </w:r>
    </w:p>
    <w:p w14:paraId="7398245D" w14:textId="77777777" w:rsidR="00F66ED4" w:rsidRDefault="00BB6473" w:rsidP="008F181F">
      <w:pPr>
        <w:pStyle w:val="ListParagraph"/>
        <w:numPr>
          <w:ilvl w:val="1"/>
          <w:numId w:val="1"/>
        </w:numPr>
        <w:ind w:left="1260"/>
        <w:jc w:val="both"/>
      </w:pPr>
      <w:r w:rsidRPr="00BB6473">
        <w:t xml:space="preserve">miesto ir uosto darnią plėtrą, </w:t>
      </w:r>
    </w:p>
    <w:p w14:paraId="64867258" w14:textId="77777777" w:rsidR="00F66ED4" w:rsidRDefault="00BB6473" w:rsidP="008F181F">
      <w:pPr>
        <w:pStyle w:val="ListParagraph"/>
        <w:numPr>
          <w:ilvl w:val="1"/>
          <w:numId w:val="1"/>
        </w:numPr>
        <w:ind w:left="1260"/>
        <w:jc w:val="both"/>
      </w:pPr>
      <w:r w:rsidRPr="00BB6473">
        <w:t xml:space="preserve">modernios miesto infrastruktūros vystymą, </w:t>
      </w:r>
    </w:p>
    <w:p w14:paraId="0EDBBBEF" w14:textId="77777777" w:rsidR="00F66ED4" w:rsidRDefault="00BB6473" w:rsidP="008F181F">
      <w:pPr>
        <w:pStyle w:val="ListParagraph"/>
        <w:numPr>
          <w:ilvl w:val="1"/>
          <w:numId w:val="1"/>
        </w:numPr>
        <w:ind w:left="1260"/>
        <w:jc w:val="both"/>
      </w:pPr>
      <w:r w:rsidRPr="00BB6473">
        <w:t xml:space="preserve">senamiesčio atgaivinimą, </w:t>
      </w:r>
    </w:p>
    <w:p w14:paraId="1A0FE9B0" w14:textId="77777777" w:rsidR="00F66ED4" w:rsidRDefault="00BB6473" w:rsidP="008F181F">
      <w:pPr>
        <w:pStyle w:val="ListParagraph"/>
        <w:numPr>
          <w:ilvl w:val="1"/>
          <w:numId w:val="1"/>
        </w:numPr>
        <w:ind w:left="1260"/>
        <w:jc w:val="both"/>
      </w:pPr>
      <w:r w:rsidRPr="00BB6473">
        <w:t xml:space="preserve">švietimo sistemos plėtojimą, </w:t>
      </w:r>
    </w:p>
    <w:p w14:paraId="531C1B3D" w14:textId="77777777" w:rsidR="00F66ED4" w:rsidRDefault="00BB6473" w:rsidP="008F181F">
      <w:pPr>
        <w:pStyle w:val="ListParagraph"/>
        <w:numPr>
          <w:ilvl w:val="1"/>
          <w:numId w:val="1"/>
        </w:numPr>
        <w:ind w:left="1260"/>
        <w:jc w:val="both"/>
      </w:pPr>
      <w:r w:rsidRPr="00BB6473">
        <w:t xml:space="preserve">sveikatos ir socialinių paslaugų kokybės bei prieinamumo didinimą, </w:t>
      </w:r>
    </w:p>
    <w:p w14:paraId="16B62278" w14:textId="64551415" w:rsidR="00F66ED4" w:rsidRDefault="00BB6473" w:rsidP="008F181F">
      <w:pPr>
        <w:pStyle w:val="ListParagraph"/>
        <w:numPr>
          <w:ilvl w:val="1"/>
          <w:numId w:val="1"/>
        </w:numPr>
        <w:ind w:left="1260"/>
        <w:jc w:val="both"/>
      </w:pPr>
      <w:r w:rsidRPr="00BB6473">
        <w:t>kultūros, sporto paslaugų</w:t>
      </w:r>
    </w:p>
    <w:p w14:paraId="5527C3EF" w14:textId="77777777" w:rsidR="00F66ED4" w:rsidRDefault="00BB6473" w:rsidP="008F181F">
      <w:pPr>
        <w:pStyle w:val="ListParagraph"/>
        <w:numPr>
          <w:ilvl w:val="1"/>
          <w:numId w:val="1"/>
        </w:numPr>
        <w:ind w:left="1260"/>
        <w:jc w:val="both"/>
      </w:pPr>
      <w:r w:rsidRPr="00BB6473">
        <w:t xml:space="preserve">jaunimo politikos plėtrą, </w:t>
      </w:r>
    </w:p>
    <w:p w14:paraId="4C8B981A" w14:textId="2EF05634" w:rsidR="00A2314E" w:rsidRDefault="00BB6473" w:rsidP="008F181F">
      <w:pPr>
        <w:pStyle w:val="ListParagraph"/>
        <w:numPr>
          <w:ilvl w:val="1"/>
          <w:numId w:val="1"/>
        </w:numPr>
        <w:ind w:left="1260"/>
        <w:jc w:val="both"/>
      </w:pPr>
      <w:r w:rsidRPr="00BB6473">
        <w:t>skaidrią ir efektyvią savivaldą.</w:t>
      </w:r>
    </w:p>
    <w:p w14:paraId="7D7E51D5" w14:textId="6CA56CB3" w:rsidR="00BB6473" w:rsidRDefault="00BB6473" w:rsidP="008F181F">
      <w:pPr>
        <w:ind w:left="360"/>
        <w:jc w:val="both"/>
      </w:pPr>
      <w:r>
        <w:t xml:space="preserve">Strategijos </w:t>
      </w:r>
      <w:r w:rsidR="00F66ED4">
        <w:t xml:space="preserve">9 (!) </w:t>
      </w:r>
      <w:r>
        <w:t xml:space="preserve">pagrindiniai prioritetai turėtų būti paremti priemonėmis ir joms skiriamu finansavimu, išsiskiriančiu </w:t>
      </w:r>
      <w:r w:rsidR="008F181F">
        <w:t xml:space="preserve">kiekiu ir apimtimis </w:t>
      </w:r>
      <w:r>
        <w:t xml:space="preserve">iš bendro biudžeto. Vertinimas parodė, kad išvardintoms </w:t>
      </w:r>
      <w:r w:rsidR="008F181F">
        <w:t xml:space="preserve">9 </w:t>
      </w:r>
      <w:r>
        <w:t>prioritetinėms sritims</w:t>
      </w:r>
      <w:r w:rsidR="008F181F">
        <w:t xml:space="preserve"> </w:t>
      </w:r>
      <w:r w:rsidR="002A638D">
        <w:t>priskyrus atitinkančias biudžeto programas,</w:t>
      </w:r>
      <w:r w:rsidR="008F181F">
        <w:t xml:space="preserve"> </w:t>
      </w:r>
      <w:r w:rsidR="002A638D">
        <w:t xml:space="preserve">nelieka nei vienos </w:t>
      </w:r>
      <w:r w:rsidR="002A638D" w:rsidRPr="00A96511">
        <w:rPr>
          <w:b/>
        </w:rPr>
        <w:t>ne</w:t>
      </w:r>
      <w:r w:rsidR="002A638D">
        <w:t>prioritetinės:</w:t>
      </w:r>
    </w:p>
    <w:tbl>
      <w:tblPr>
        <w:tblStyle w:val="TableGrid"/>
        <w:tblW w:w="9360" w:type="dxa"/>
        <w:tblInd w:w="355" w:type="dxa"/>
        <w:tblLook w:val="04A0" w:firstRow="1" w:lastRow="0" w:firstColumn="1" w:lastColumn="0" w:noHBand="0" w:noVBand="1"/>
      </w:tblPr>
      <w:tblGrid>
        <w:gridCol w:w="2880"/>
        <w:gridCol w:w="3240"/>
        <w:gridCol w:w="1620"/>
        <w:gridCol w:w="1620"/>
      </w:tblGrid>
      <w:tr w:rsidR="008F181F" w14:paraId="1886EE30" w14:textId="77777777" w:rsidTr="008F181F">
        <w:tc>
          <w:tcPr>
            <w:tcW w:w="2880" w:type="dxa"/>
            <w:vAlign w:val="center"/>
          </w:tcPr>
          <w:p w14:paraId="5509B2B3" w14:textId="5223169D" w:rsidR="00BB6473" w:rsidRPr="008F181F" w:rsidRDefault="00BB6473" w:rsidP="008F181F">
            <w:pPr>
              <w:jc w:val="center"/>
              <w:rPr>
                <w:sz w:val="22"/>
              </w:rPr>
            </w:pPr>
            <w:r w:rsidRPr="008F181F">
              <w:rPr>
                <w:sz w:val="22"/>
              </w:rPr>
              <w:t>Prioritetas</w:t>
            </w:r>
          </w:p>
        </w:tc>
        <w:tc>
          <w:tcPr>
            <w:tcW w:w="3240" w:type="dxa"/>
            <w:vAlign w:val="center"/>
          </w:tcPr>
          <w:p w14:paraId="701966AC" w14:textId="235990F0" w:rsidR="00BB6473" w:rsidRPr="008F181F" w:rsidRDefault="00BB6473" w:rsidP="008F181F">
            <w:pPr>
              <w:jc w:val="center"/>
              <w:rPr>
                <w:sz w:val="22"/>
              </w:rPr>
            </w:pPr>
            <w:r w:rsidRPr="008F181F">
              <w:rPr>
                <w:sz w:val="22"/>
              </w:rPr>
              <w:t>Atitinkama biudžeto programa</w:t>
            </w:r>
          </w:p>
        </w:tc>
        <w:tc>
          <w:tcPr>
            <w:tcW w:w="1620" w:type="dxa"/>
            <w:vAlign w:val="center"/>
          </w:tcPr>
          <w:p w14:paraId="58A69F14" w14:textId="290CF95B" w:rsidR="00BB6473" w:rsidRPr="008F181F" w:rsidRDefault="00BB6473" w:rsidP="008F181F">
            <w:pPr>
              <w:jc w:val="center"/>
              <w:rPr>
                <w:sz w:val="22"/>
              </w:rPr>
            </w:pPr>
            <w:r w:rsidRPr="008F181F">
              <w:rPr>
                <w:sz w:val="22"/>
              </w:rPr>
              <w:t xml:space="preserve">Suma 2020 m. (SB be </w:t>
            </w:r>
            <w:r w:rsidR="008F181F" w:rsidRPr="008F181F">
              <w:rPr>
                <w:sz w:val="22"/>
              </w:rPr>
              <w:t>SB</w:t>
            </w:r>
            <w:r w:rsidRPr="008F181F">
              <w:rPr>
                <w:sz w:val="22"/>
              </w:rPr>
              <w:t>VB</w:t>
            </w:r>
            <w:r w:rsidR="008F181F" w:rsidRPr="008F181F">
              <w:rPr>
                <w:sz w:val="22"/>
              </w:rPr>
              <w:t>, ES, VB, LRVB ir kitų</w:t>
            </w:r>
            <w:r w:rsidRPr="008F181F">
              <w:rPr>
                <w:sz w:val="22"/>
              </w:rPr>
              <w:t>)</w:t>
            </w:r>
          </w:p>
        </w:tc>
        <w:tc>
          <w:tcPr>
            <w:tcW w:w="1620" w:type="dxa"/>
            <w:vAlign w:val="center"/>
          </w:tcPr>
          <w:p w14:paraId="1984D909" w14:textId="66B912CB" w:rsidR="00BB6473" w:rsidRPr="008F181F" w:rsidRDefault="00BB6473" w:rsidP="008F181F">
            <w:pPr>
              <w:jc w:val="center"/>
              <w:rPr>
                <w:sz w:val="22"/>
              </w:rPr>
            </w:pPr>
            <w:r w:rsidRPr="008F181F">
              <w:rPr>
                <w:sz w:val="22"/>
              </w:rPr>
              <w:t>Procentas nuo bendro SB</w:t>
            </w:r>
            <w:r w:rsidR="008F181F" w:rsidRPr="008F181F">
              <w:rPr>
                <w:sz w:val="22"/>
              </w:rPr>
              <w:t xml:space="preserve"> (be SBVB, ES, VB, LRVB ir kitų) </w:t>
            </w:r>
            <w:r w:rsidRPr="008F181F">
              <w:rPr>
                <w:sz w:val="22"/>
              </w:rPr>
              <w:t>biudžeto</w:t>
            </w:r>
          </w:p>
        </w:tc>
      </w:tr>
      <w:tr w:rsidR="008F181F" w14:paraId="36F21BE3" w14:textId="77777777" w:rsidTr="008F181F">
        <w:tc>
          <w:tcPr>
            <w:tcW w:w="2880" w:type="dxa"/>
            <w:vAlign w:val="center"/>
          </w:tcPr>
          <w:p w14:paraId="0B6C5898" w14:textId="15249996" w:rsidR="00BB6473" w:rsidRPr="008F181F" w:rsidRDefault="00BB6473" w:rsidP="008F181F">
            <w:pPr>
              <w:rPr>
                <w:sz w:val="22"/>
              </w:rPr>
            </w:pPr>
            <w:r w:rsidRPr="008F181F">
              <w:rPr>
                <w:sz w:val="22"/>
              </w:rPr>
              <w:t>Aplinkosauga</w:t>
            </w:r>
          </w:p>
        </w:tc>
        <w:tc>
          <w:tcPr>
            <w:tcW w:w="3240" w:type="dxa"/>
            <w:vAlign w:val="center"/>
          </w:tcPr>
          <w:p w14:paraId="568F78B0" w14:textId="691BE723" w:rsidR="00BB6473" w:rsidRPr="008F181F" w:rsidRDefault="00BB6473" w:rsidP="008F181F">
            <w:pPr>
              <w:rPr>
                <w:sz w:val="22"/>
              </w:rPr>
            </w:pPr>
            <w:r w:rsidRPr="008F181F">
              <w:rPr>
                <w:sz w:val="22"/>
              </w:rPr>
              <w:t>05 Aplinkos apsaugos</w:t>
            </w:r>
          </w:p>
        </w:tc>
        <w:tc>
          <w:tcPr>
            <w:tcW w:w="1620" w:type="dxa"/>
            <w:vAlign w:val="center"/>
          </w:tcPr>
          <w:p w14:paraId="09108B8E" w14:textId="5E2721F3" w:rsidR="00BB6473" w:rsidRPr="008F181F" w:rsidRDefault="00BB6473" w:rsidP="008F181F">
            <w:pPr>
              <w:ind w:firstLineChars="100" w:firstLine="220"/>
              <w:jc w:val="right"/>
              <w:rPr>
                <w:color w:val="000000"/>
                <w:sz w:val="22"/>
              </w:rPr>
            </w:pPr>
            <w:r w:rsidRPr="008F181F">
              <w:rPr>
                <w:color w:val="000000"/>
                <w:sz w:val="22"/>
              </w:rPr>
              <w:t>9 815 700</w:t>
            </w:r>
          </w:p>
        </w:tc>
        <w:tc>
          <w:tcPr>
            <w:tcW w:w="1620" w:type="dxa"/>
            <w:vAlign w:val="center"/>
          </w:tcPr>
          <w:p w14:paraId="5915DDFD" w14:textId="10F88D07" w:rsidR="00BB6473" w:rsidRPr="008F181F" w:rsidRDefault="00BB6473" w:rsidP="008F181F">
            <w:pPr>
              <w:ind w:firstLineChars="100" w:firstLine="220"/>
              <w:jc w:val="right"/>
              <w:rPr>
                <w:color w:val="000000"/>
                <w:sz w:val="22"/>
              </w:rPr>
            </w:pPr>
            <w:r w:rsidRPr="008F181F">
              <w:rPr>
                <w:color w:val="000000"/>
                <w:sz w:val="22"/>
              </w:rPr>
              <w:t>5,8 %</w:t>
            </w:r>
          </w:p>
        </w:tc>
      </w:tr>
      <w:tr w:rsidR="008F181F" w14:paraId="11FBF387" w14:textId="77777777" w:rsidTr="008F181F">
        <w:tc>
          <w:tcPr>
            <w:tcW w:w="2880" w:type="dxa"/>
          </w:tcPr>
          <w:p w14:paraId="0124994D" w14:textId="3C8B6E0C" w:rsidR="00BB6473" w:rsidRPr="008F181F" w:rsidRDefault="00BB6473" w:rsidP="008F181F">
            <w:pPr>
              <w:rPr>
                <w:sz w:val="22"/>
              </w:rPr>
            </w:pPr>
            <w:r w:rsidRPr="008F181F">
              <w:rPr>
                <w:sz w:val="22"/>
              </w:rPr>
              <w:t>Miesto ir uosto darnią plėtra</w:t>
            </w:r>
          </w:p>
        </w:tc>
        <w:tc>
          <w:tcPr>
            <w:tcW w:w="3240" w:type="dxa"/>
          </w:tcPr>
          <w:p w14:paraId="7419DD89" w14:textId="41EA2044" w:rsidR="00BB6473" w:rsidRPr="008F181F" w:rsidRDefault="00BB6473" w:rsidP="008F181F">
            <w:pPr>
              <w:rPr>
                <w:sz w:val="22"/>
              </w:rPr>
            </w:pPr>
            <w:r w:rsidRPr="008F181F">
              <w:rPr>
                <w:sz w:val="22"/>
              </w:rPr>
              <w:t>Negalima priskirti vienai programai</w:t>
            </w:r>
          </w:p>
        </w:tc>
        <w:tc>
          <w:tcPr>
            <w:tcW w:w="1620" w:type="dxa"/>
            <w:vAlign w:val="center"/>
          </w:tcPr>
          <w:p w14:paraId="09965CE3" w14:textId="4DE4AE10" w:rsidR="00BB6473" w:rsidRPr="008F181F" w:rsidRDefault="00BB6473" w:rsidP="008F181F">
            <w:pPr>
              <w:jc w:val="right"/>
              <w:rPr>
                <w:sz w:val="22"/>
              </w:rPr>
            </w:pPr>
            <w:r w:rsidRPr="008F181F">
              <w:rPr>
                <w:sz w:val="22"/>
              </w:rPr>
              <w:t>-</w:t>
            </w:r>
          </w:p>
        </w:tc>
        <w:tc>
          <w:tcPr>
            <w:tcW w:w="1620" w:type="dxa"/>
            <w:vAlign w:val="center"/>
          </w:tcPr>
          <w:p w14:paraId="1F54C450" w14:textId="58F68217" w:rsidR="00BB6473" w:rsidRPr="008F181F" w:rsidRDefault="00BB6473" w:rsidP="008F181F">
            <w:pPr>
              <w:jc w:val="right"/>
              <w:rPr>
                <w:sz w:val="22"/>
              </w:rPr>
            </w:pPr>
            <w:r w:rsidRPr="008F181F">
              <w:rPr>
                <w:sz w:val="22"/>
              </w:rPr>
              <w:t>-</w:t>
            </w:r>
          </w:p>
        </w:tc>
      </w:tr>
      <w:tr w:rsidR="008F181F" w14:paraId="1BD5AB2A" w14:textId="77777777" w:rsidTr="008F181F">
        <w:tc>
          <w:tcPr>
            <w:tcW w:w="2880" w:type="dxa"/>
          </w:tcPr>
          <w:p w14:paraId="09BA39F1" w14:textId="2F448637" w:rsidR="00BB6473" w:rsidRPr="008F181F" w:rsidRDefault="00BB6473" w:rsidP="008F181F">
            <w:pPr>
              <w:rPr>
                <w:sz w:val="22"/>
              </w:rPr>
            </w:pPr>
            <w:r w:rsidRPr="008F181F">
              <w:rPr>
                <w:sz w:val="22"/>
              </w:rPr>
              <w:t>Modernios miesto infrastruktūros vystymas</w:t>
            </w:r>
          </w:p>
        </w:tc>
        <w:tc>
          <w:tcPr>
            <w:tcW w:w="3240" w:type="dxa"/>
          </w:tcPr>
          <w:p w14:paraId="7110A564" w14:textId="08DB4850" w:rsidR="00BB6473" w:rsidRPr="008F181F" w:rsidRDefault="00BB6473" w:rsidP="008F181F">
            <w:pPr>
              <w:rPr>
                <w:sz w:val="22"/>
              </w:rPr>
            </w:pPr>
            <w:r w:rsidRPr="008F181F">
              <w:rPr>
                <w:sz w:val="22"/>
              </w:rPr>
              <w:t xml:space="preserve">01 </w:t>
            </w:r>
            <w:r w:rsidR="00F66ED4" w:rsidRPr="008F181F">
              <w:rPr>
                <w:sz w:val="22"/>
              </w:rPr>
              <w:t>Miesto urbanistinio planavimo</w:t>
            </w:r>
          </w:p>
          <w:p w14:paraId="3CAB5A88" w14:textId="2899631F" w:rsidR="00BB6473" w:rsidRPr="008F181F" w:rsidRDefault="00BB6473" w:rsidP="008F181F">
            <w:pPr>
              <w:rPr>
                <w:sz w:val="22"/>
              </w:rPr>
            </w:pPr>
            <w:r w:rsidRPr="008F181F">
              <w:rPr>
                <w:sz w:val="22"/>
              </w:rPr>
              <w:t xml:space="preserve">06 </w:t>
            </w:r>
            <w:r w:rsidR="00F66ED4" w:rsidRPr="008F181F">
              <w:rPr>
                <w:sz w:val="22"/>
              </w:rPr>
              <w:t>Susisiekimo sistemos priežiūros ir plėtros</w:t>
            </w:r>
          </w:p>
          <w:p w14:paraId="79A218DD" w14:textId="3136E053" w:rsidR="00BB6473" w:rsidRPr="008F181F" w:rsidRDefault="00BB6473" w:rsidP="008F181F">
            <w:pPr>
              <w:rPr>
                <w:sz w:val="22"/>
              </w:rPr>
            </w:pPr>
            <w:r w:rsidRPr="008F181F">
              <w:rPr>
                <w:sz w:val="22"/>
              </w:rPr>
              <w:t xml:space="preserve">07 </w:t>
            </w:r>
            <w:r w:rsidR="00F66ED4" w:rsidRPr="008F181F">
              <w:rPr>
                <w:sz w:val="22"/>
              </w:rPr>
              <w:t xml:space="preserve">Miesto infrastruktūros objektų priežiūros ir modernizavimo </w:t>
            </w:r>
          </w:p>
          <w:p w14:paraId="484D995C" w14:textId="03ACB92C" w:rsidR="00BB6473" w:rsidRPr="008F181F" w:rsidRDefault="00BB6473" w:rsidP="008F181F">
            <w:pPr>
              <w:rPr>
                <w:sz w:val="22"/>
              </w:rPr>
            </w:pPr>
            <w:r w:rsidRPr="008F181F">
              <w:rPr>
                <w:sz w:val="22"/>
              </w:rPr>
              <w:t xml:space="preserve">11 </w:t>
            </w:r>
            <w:r w:rsidR="00F66ED4" w:rsidRPr="008F181F">
              <w:rPr>
                <w:sz w:val="22"/>
              </w:rPr>
              <w:t>Kūno kultūros ir sporto plėtros</w:t>
            </w:r>
          </w:p>
        </w:tc>
        <w:tc>
          <w:tcPr>
            <w:tcW w:w="1620" w:type="dxa"/>
            <w:vAlign w:val="center"/>
          </w:tcPr>
          <w:p w14:paraId="17E31F80" w14:textId="12908690" w:rsidR="00BB6473" w:rsidRPr="008F181F" w:rsidRDefault="00BB6473" w:rsidP="008F181F">
            <w:pPr>
              <w:jc w:val="right"/>
              <w:rPr>
                <w:sz w:val="22"/>
              </w:rPr>
            </w:pPr>
            <w:r w:rsidRPr="008F181F">
              <w:rPr>
                <w:sz w:val="22"/>
              </w:rPr>
              <w:t>52 535 200</w:t>
            </w:r>
          </w:p>
        </w:tc>
        <w:tc>
          <w:tcPr>
            <w:tcW w:w="1620" w:type="dxa"/>
            <w:vAlign w:val="center"/>
          </w:tcPr>
          <w:p w14:paraId="64012AD9" w14:textId="2A46FECA" w:rsidR="00BB6473" w:rsidRPr="008F181F" w:rsidRDefault="00BB6473" w:rsidP="008F181F">
            <w:pPr>
              <w:jc w:val="right"/>
              <w:rPr>
                <w:sz w:val="22"/>
              </w:rPr>
            </w:pPr>
            <w:r w:rsidRPr="008F181F">
              <w:rPr>
                <w:sz w:val="22"/>
              </w:rPr>
              <w:t>32,1 %</w:t>
            </w:r>
          </w:p>
        </w:tc>
      </w:tr>
      <w:tr w:rsidR="008F181F" w14:paraId="78DA56B9" w14:textId="77777777" w:rsidTr="008F181F">
        <w:tc>
          <w:tcPr>
            <w:tcW w:w="2880" w:type="dxa"/>
          </w:tcPr>
          <w:p w14:paraId="6F14260C" w14:textId="0424AB2C" w:rsidR="00F66ED4" w:rsidRPr="008F181F" w:rsidRDefault="00F66ED4" w:rsidP="008F181F">
            <w:pPr>
              <w:rPr>
                <w:sz w:val="22"/>
              </w:rPr>
            </w:pPr>
            <w:r w:rsidRPr="008F181F">
              <w:rPr>
                <w:sz w:val="22"/>
              </w:rPr>
              <w:t>Senamiesčio atgaivinimas</w:t>
            </w:r>
          </w:p>
        </w:tc>
        <w:tc>
          <w:tcPr>
            <w:tcW w:w="3240" w:type="dxa"/>
          </w:tcPr>
          <w:p w14:paraId="7304989C" w14:textId="2A6738E9" w:rsidR="00F66ED4" w:rsidRPr="008F181F" w:rsidRDefault="00F66ED4" w:rsidP="008F181F">
            <w:pPr>
              <w:rPr>
                <w:sz w:val="22"/>
              </w:rPr>
            </w:pPr>
            <w:r w:rsidRPr="008F181F">
              <w:rPr>
                <w:sz w:val="22"/>
              </w:rPr>
              <w:t>Negalima priskirti vienai programai</w:t>
            </w:r>
          </w:p>
        </w:tc>
        <w:tc>
          <w:tcPr>
            <w:tcW w:w="1620" w:type="dxa"/>
            <w:vAlign w:val="center"/>
          </w:tcPr>
          <w:p w14:paraId="43B381DA" w14:textId="67A1CC7D" w:rsidR="00F66ED4" w:rsidRPr="008F181F" w:rsidRDefault="00F66ED4" w:rsidP="008F181F">
            <w:pPr>
              <w:jc w:val="right"/>
              <w:rPr>
                <w:sz w:val="22"/>
              </w:rPr>
            </w:pPr>
            <w:r w:rsidRPr="008F181F">
              <w:rPr>
                <w:sz w:val="22"/>
              </w:rPr>
              <w:t>-</w:t>
            </w:r>
          </w:p>
        </w:tc>
        <w:tc>
          <w:tcPr>
            <w:tcW w:w="1620" w:type="dxa"/>
            <w:vAlign w:val="center"/>
          </w:tcPr>
          <w:p w14:paraId="125F9B6D" w14:textId="452ECA6D" w:rsidR="00F66ED4" w:rsidRPr="008F181F" w:rsidRDefault="00F66ED4" w:rsidP="008F181F">
            <w:pPr>
              <w:jc w:val="right"/>
              <w:rPr>
                <w:sz w:val="22"/>
              </w:rPr>
            </w:pPr>
            <w:r w:rsidRPr="008F181F">
              <w:rPr>
                <w:sz w:val="22"/>
              </w:rPr>
              <w:t>-</w:t>
            </w:r>
          </w:p>
        </w:tc>
      </w:tr>
      <w:tr w:rsidR="008F181F" w14:paraId="00999671" w14:textId="77777777" w:rsidTr="008F181F">
        <w:tc>
          <w:tcPr>
            <w:tcW w:w="2880" w:type="dxa"/>
          </w:tcPr>
          <w:p w14:paraId="6B3DE4E6" w14:textId="6D285BE7" w:rsidR="00F66ED4" w:rsidRPr="008F181F" w:rsidRDefault="00F66ED4" w:rsidP="008F181F">
            <w:pPr>
              <w:rPr>
                <w:sz w:val="22"/>
              </w:rPr>
            </w:pPr>
            <w:r w:rsidRPr="008F181F">
              <w:rPr>
                <w:sz w:val="22"/>
              </w:rPr>
              <w:t>Švietimo sistemos plėtojimas</w:t>
            </w:r>
          </w:p>
        </w:tc>
        <w:tc>
          <w:tcPr>
            <w:tcW w:w="3240" w:type="dxa"/>
          </w:tcPr>
          <w:p w14:paraId="408348C3" w14:textId="251F14E5" w:rsidR="00F66ED4" w:rsidRPr="008F181F" w:rsidRDefault="00F66ED4" w:rsidP="008F181F">
            <w:pPr>
              <w:rPr>
                <w:sz w:val="22"/>
              </w:rPr>
            </w:pPr>
            <w:r w:rsidRPr="008F181F">
              <w:rPr>
                <w:sz w:val="22"/>
              </w:rPr>
              <w:t>10 Ugdymo proceso užtikrinimo</w:t>
            </w:r>
          </w:p>
        </w:tc>
        <w:tc>
          <w:tcPr>
            <w:tcW w:w="1620" w:type="dxa"/>
            <w:vAlign w:val="center"/>
          </w:tcPr>
          <w:p w14:paraId="28B3CE41" w14:textId="7004B150" w:rsidR="00F66ED4" w:rsidRPr="008F181F" w:rsidRDefault="00F66ED4" w:rsidP="008F181F">
            <w:pPr>
              <w:ind w:firstLineChars="100" w:firstLine="220"/>
              <w:jc w:val="right"/>
              <w:rPr>
                <w:color w:val="000000"/>
                <w:sz w:val="22"/>
              </w:rPr>
            </w:pPr>
            <w:r w:rsidRPr="008F181F">
              <w:rPr>
                <w:color w:val="000000"/>
                <w:sz w:val="22"/>
              </w:rPr>
              <w:t>58 110 100</w:t>
            </w:r>
          </w:p>
        </w:tc>
        <w:tc>
          <w:tcPr>
            <w:tcW w:w="1620" w:type="dxa"/>
            <w:vAlign w:val="center"/>
          </w:tcPr>
          <w:p w14:paraId="078B2866" w14:textId="3CB486B8" w:rsidR="00F66ED4" w:rsidRPr="008F181F" w:rsidRDefault="00F66ED4" w:rsidP="008F181F">
            <w:pPr>
              <w:ind w:firstLineChars="100" w:firstLine="220"/>
              <w:jc w:val="right"/>
              <w:rPr>
                <w:color w:val="000000"/>
                <w:sz w:val="22"/>
              </w:rPr>
            </w:pPr>
            <w:r w:rsidRPr="008F181F">
              <w:rPr>
                <w:color w:val="000000"/>
                <w:sz w:val="22"/>
              </w:rPr>
              <w:t>34,2 %</w:t>
            </w:r>
          </w:p>
        </w:tc>
      </w:tr>
      <w:tr w:rsidR="008F181F" w14:paraId="28CE8916" w14:textId="77777777" w:rsidTr="008F181F">
        <w:tc>
          <w:tcPr>
            <w:tcW w:w="2880" w:type="dxa"/>
          </w:tcPr>
          <w:p w14:paraId="7BAE8A6C" w14:textId="15ED7D73" w:rsidR="00F66ED4" w:rsidRPr="008F181F" w:rsidRDefault="00F66ED4" w:rsidP="008F181F">
            <w:pPr>
              <w:rPr>
                <w:sz w:val="22"/>
              </w:rPr>
            </w:pPr>
            <w:r w:rsidRPr="008F181F">
              <w:rPr>
                <w:sz w:val="22"/>
              </w:rPr>
              <w:t>Sveikatos ir socialinių paslaugų kokybės bei prieinamumo didinimas</w:t>
            </w:r>
          </w:p>
        </w:tc>
        <w:tc>
          <w:tcPr>
            <w:tcW w:w="3240" w:type="dxa"/>
          </w:tcPr>
          <w:p w14:paraId="111597BD" w14:textId="17C931D4" w:rsidR="00F66ED4" w:rsidRPr="008F181F" w:rsidRDefault="00F66ED4" w:rsidP="008F181F">
            <w:pPr>
              <w:rPr>
                <w:sz w:val="22"/>
              </w:rPr>
            </w:pPr>
            <w:r w:rsidRPr="008F181F">
              <w:rPr>
                <w:sz w:val="22"/>
              </w:rPr>
              <w:t>12 Socialinės atskirties mažinimo</w:t>
            </w:r>
          </w:p>
          <w:p w14:paraId="72014A3E" w14:textId="20F8E33B" w:rsidR="00F66ED4" w:rsidRPr="008F181F" w:rsidRDefault="00F66ED4" w:rsidP="008F181F">
            <w:pPr>
              <w:rPr>
                <w:sz w:val="22"/>
              </w:rPr>
            </w:pPr>
            <w:r w:rsidRPr="008F181F">
              <w:rPr>
                <w:sz w:val="22"/>
              </w:rPr>
              <w:t>13 Sveikatos apsaugos</w:t>
            </w:r>
          </w:p>
        </w:tc>
        <w:tc>
          <w:tcPr>
            <w:tcW w:w="1620" w:type="dxa"/>
            <w:vAlign w:val="center"/>
          </w:tcPr>
          <w:p w14:paraId="368A13DA" w14:textId="6863283B" w:rsidR="00F66ED4" w:rsidRPr="008F181F" w:rsidRDefault="00F66ED4" w:rsidP="008F181F">
            <w:pPr>
              <w:jc w:val="right"/>
              <w:rPr>
                <w:sz w:val="22"/>
              </w:rPr>
            </w:pPr>
            <w:r w:rsidRPr="008F181F">
              <w:rPr>
                <w:sz w:val="22"/>
              </w:rPr>
              <w:t>19 946 200</w:t>
            </w:r>
          </w:p>
        </w:tc>
        <w:tc>
          <w:tcPr>
            <w:tcW w:w="1620" w:type="dxa"/>
            <w:vAlign w:val="center"/>
          </w:tcPr>
          <w:p w14:paraId="6A285840" w14:textId="39A47239" w:rsidR="00F66ED4" w:rsidRPr="008F181F" w:rsidRDefault="00F66ED4" w:rsidP="008F181F">
            <w:pPr>
              <w:jc w:val="right"/>
              <w:rPr>
                <w:sz w:val="22"/>
                <w:lang w:val="lt-LT"/>
              </w:rPr>
            </w:pPr>
            <w:r w:rsidRPr="008F181F">
              <w:rPr>
                <w:sz w:val="22"/>
              </w:rPr>
              <w:t>11,7 %</w:t>
            </w:r>
          </w:p>
        </w:tc>
      </w:tr>
      <w:tr w:rsidR="00F66ED4" w14:paraId="7F37348E" w14:textId="77777777" w:rsidTr="008F181F">
        <w:tc>
          <w:tcPr>
            <w:tcW w:w="2880" w:type="dxa"/>
          </w:tcPr>
          <w:p w14:paraId="0CBFA510" w14:textId="601BB3BA" w:rsidR="00F66ED4" w:rsidRPr="008F181F" w:rsidRDefault="00F66ED4" w:rsidP="008F181F">
            <w:pPr>
              <w:rPr>
                <w:sz w:val="22"/>
              </w:rPr>
            </w:pPr>
            <w:r w:rsidRPr="008F181F">
              <w:rPr>
                <w:sz w:val="22"/>
              </w:rPr>
              <w:t>Kultūros, sporto paslaugos</w:t>
            </w:r>
          </w:p>
        </w:tc>
        <w:tc>
          <w:tcPr>
            <w:tcW w:w="3240" w:type="dxa"/>
          </w:tcPr>
          <w:p w14:paraId="2F2C1827" w14:textId="1E93D2B7" w:rsidR="00F66ED4" w:rsidRPr="008F181F" w:rsidRDefault="00F66ED4" w:rsidP="008F181F">
            <w:pPr>
              <w:rPr>
                <w:sz w:val="22"/>
              </w:rPr>
            </w:pPr>
            <w:r w:rsidRPr="008F181F">
              <w:rPr>
                <w:sz w:val="22"/>
              </w:rPr>
              <w:t>08 Kultūros plėtros 11 Kūno kultūros ir sporto plėtros</w:t>
            </w:r>
            <w:r w:rsidR="008F181F" w:rsidRPr="008F181F">
              <w:rPr>
                <w:sz w:val="22"/>
              </w:rPr>
              <w:t xml:space="preserve"> (dublis)</w:t>
            </w:r>
          </w:p>
        </w:tc>
        <w:tc>
          <w:tcPr>
            <w:tcW w:w="1620" w:type="dxa"/>
            <w:vAlign w:val="center"/>
          </w:tcPr>
          <w:p w14:paraId="49A752A1" w14:textId="0E9AC837" w:rsidR="00F66ED4" w:rsidRPr="008F181F" w:rsidRDefault="00F66ED4" w:rsidP="008F181F">
            <w:pPr>
              <w:jc w:val="right"/>
              <w:rPr>
                <w:sz w:val="22"/>
              </w:rPr>
            </w:pPr>
            <w:r w:rsidRPr="008F181F">
              <w:rPr>
                <w:sz w:val="22"/>
              </w:rPr>
              <w:t>25 513 600</w:t>
            </w:r>
          </w:p>
        </w:tc>
        <w:tc>
          <w:tcPr>
            <w:tcW w:w="1620" w:type="dxa"/>
            <w:vAlign w:val="center"/>
          </w:tcPr>
          <w:p w14:paraId="3319C8C0" w14:textId="33CC1789" w:rsidR="00F66ED4" w:rsidRPr="008F181F" w:rsidRDefault="00F66ED4" w:rsidP="008F181F">
            <w:pPr>
              <w:jc w:val="right"/>
              <w:rPr>
                <w:sz w:val="22"/>
                <w:lang w:val="lt-LT"/>
              </w:rPr>
            </w:pPr>
            <w:r w:rsidRPr="008F181F">
              <w:rPr>
                <w:sz w:val="22"/>
              </w:rPr>
              <w:t>15 %</w:t>
            </w:r>
          </w:p>
        </w:tc>
      </w:tr>
      <w:tr w:rsidR="00F66ED4" w14:paraId="3CD0C33B" w14:textId="77777777" w:rsidTr="008F181F">
        <w:tc>
          <w:tcPr>
            <w:tcW w:w="2880" w:type="dxa"/>
          </w:tcPr>
          <w:p w14:paraId="0422D7FC" w14:textId="2FC54F3B" w:rsidR="00F66ED4" w:rsidRPr="008F181F" w:rsidRDefault="00F66ED4" w:rsidP="008F181F">
            <w:pPr>
              <w:rPr>
                <w:sz w:val="22"/>
              </w:rPr>
            </w:pPr>
            <w:r w:rsidRPr="008F181F">
              <w:rPr>
                <w:sz w:val="22"/>
              </w:rPr>
              <w:t>Jaunimo politikos plėtra</w:t>
            </w:r>
          </w:p>
        </w:tc>
        <w:tc>
          <w:tcPr>
            <w:tcW w:w="3240" w:type="dxa"/>
          </w:tcPr>
          <w:p w14:paraId="47C47F5E" w14:textId="66C8922E" w:rsidR="00F66ED4" w:rsidRPr="008F181F" w:rsidRDefault="008F181F" w:rsidP="008F181F">
            <w:pPr>
              <w:rPr>
                <w:sz w:val="22"/>
              </w:rPr>
            </w:pPr>
            <w:r w:rsidRPr="008F181F">
              <w:rPr>
                <w:sz w:val="22"/>
              </w:rPr>
              <w:t>09 Jaunimo politikos pl</w:t>
            </w:r>
            <w:r w:rsidRPr="008F181F">
              <w:rPr>
                <w:sz w:val="22"/>
                <w:lang w:val="lt-LT"/>
              </w:rPr>
              <w:t>ėtra</w:t>
            </w:r>
          </w:p>
        </w:tc>
        <w:tc>
          <w:tcPr>
            <w:tcW w:w="1620" w:type="dxa"/>
            <w:vAlign w:val="center"/>
          </w:tcPr>
          <w:p w14:paraId="5857020D" w14:textId="419669A6" w:rsidR="00F66ED4" w:rsidRPr="008F181F" w:rsidRDefault="008F181F" w:rsidP="008F181F">
            <w:pPr>
              <w:ind w:firstLineChars="100" w:firstLine="220"/>
              <w:jc w:val="right"/>
              <w:rPr>
                <w:color w:val="000000"/>
                <w:sz w:val="22"/>
              </w:rPr>
            </w:pPr>
            <w:r w:rsidRPr="008F181F">
              <w:rPr>
                <w:color w:val="000000"/>
                <w:sz w:val="22"/>
              </w:rPr>
              <w:t>920 500</w:t>
            </w:r>
          </w:p>
        </w:tc>
        <w:tc>
          <w:tcPr>
            <w:tcW w:w="1620" w:type="dxa"/>
            <w:vAlign w:val="center"/>
          </w:tcPr>
          <w:p w14:paraId="1CF6A2D0" w14:textId="35AF4CC8" w:rsidR="00F66ED4" w:rsidRPr="008F181F" w:rsidRDefault="008F181F" w:rsidP="008F181F">
            <w:pPr>
              <w:ind w:firstLineChars="100" w:firstLine="220"/>
              <w:jc w:val="right"/>
              <w:rPr>
                <w:color w:val="000000"/>
                <w:sz w:val="22"/>
              </w:rPr>
            </w:pPr>
            <w:r w:rsidRPr="008F181F">
              <w:rPr>
                <w:color w:val="000000"/>
                <w:sz w:val="22"/>
              </w:rPr>
              <w:t>0,5 %</w:t>
            </w:r>
          </w:p>
        </w:tc>
      </w:tr>
      <w:tr w:rsidR="008F181F" w14:paraId="3361E178" w14:textId="77777777" w:rsidTr="008F181F">
        <w:tc>
          <w:tcPr>
            <w:tcW w:w="2880" w:type="dxa"/>
          </w:tcPr>
          <w:p w14:paraId="6F1AD0BE" w14:textId="22B7266A" w:rsidR="008F181F" w:rsidRPr="008F181F" w:rsidRDefault="008F181F" w:rsidP="008F181F">
            <w:pPr>
              <w:rPr>
                <w:sz w:val="22"/>
              </w:rPr>
            </w:pPr>
            <w:r w:rsidRPr="008F181F">
              <w:rPr>
                <w:sz w:val="22"/>
              </w:rPr>
              <w:t>Skaidri ir efektyvi savivalda</w:t>
            </w:r>
          </w:p>
        </w:tc>
        <w:tc>
          <w:tcPr>
            <w:tcW w:w="3240" w:type="dxa"/>
          </w:tcPr>
          <w:p w14:paraId="72C70879" w14:textId="231A9EA3" w:rsidR="008F181F" w:rsidRPr="008F181F" w:rsidRDefault="008F181F" w:rsidP="008F181F">
            <w:pPr>
              <w:rPr>
                <w:sz w:val="22"/>
              </w:rPr>
            </w:pPr>
            <w:r w:rsidRPr="008F181F">
              <w:rPr>
                <w:sz w:val="22"/>
              </w:rPr>
              <w:t>03 Valdymo</w:t>
            </w:r>
          </w:p>
        </w:tc>
        <w:tc>
          <w:tcPr>
            <w:tcW w:w="1620" w:type="dxa"/>
            <w:vAlign w:val="center"/>
          </w:tcPr>
          <w:p w14:paraId="589D091C" w14:textId="1F22D80E" w:rsidR="008F181F" w:rsidRPr="008F181F" w:rsidRDefault="008F181F" w:rsidP="008F181F">
            <w:pPr>
              <w:ind w:firstLineChars="100" w:firstLine="220"/>
              <w:jc w:val="right"/>
              <w:rPr>
                <w:color w:val="000000"/>
                <w:sz w:val="22"/>
              </w:rPr>
            </w:pPr>
            <w:r w:rsidRPr="008F181F">
              <w:rPr>
                <w:color w:val="000000"/>
                <w:sz w:val="22"/>
              </w:rPr>
              <w:t>15 261 500</w:t>
            </w:r>
          </w:p>
        </w:tc>
        <w:tc>
          <w:tcPr>
            <w:tcW w:w="1620" w:type="dxa"/>
            <w:vAlign w:val="center"/>
          </w:tcPr>
          <w:p w14:paraId="1B735A74" w14:textId="6C34FC4B" w:rsidR="008F181F" w:rsidRPr="008F181F" w:rsidRDefault="008F181F" w:rsidP="008F181F">
            <w:pPr>
              <w:ind w:firstLineChars="100" w:firstLine="220"/>
              <w:jc w:val="right"/>
              <w:rPr>
                <w:color w:val="000000"/>
                <w:sz w:val="22"/>
              </w:rPr>
            </w:pPr>
            <w:r w:rsidRPr="008F181F">
              <w:rPr>
                <w:color w:val="000000"/>
                <w:sz w:val="22"/>
              </w:rPr>
              <w:t>9,0 %</w:t>
            </w:r>
          </w:p>
        </w:tc>
      </w:tr>
    </w:tbl>
    <w:p w14:paraId="0621A106" w14:textId="77777777" w:rsidR="00354541" w:rsidRDefault="00354541" w:rsidP="008F181F">
      <w:pPr>
        <w:ind w:left="360"/>
        <w:jc w:val="both"/>
      </w:pPr>
    </w:p>
    <w:p w14:paraId="321C3DE0" w14:textId="16CB08E9" w:rsidR="00BB6473" w:rsidRDefault="00A96511" w:rsidP="008F181F">
      <w:pPr>
        <w:ind w:left="360"/>
        <w:jc w:val="both"/>
      </w:pPr>
      <w:bookmarkStart w:id="0" w:name="_GoBack"/>
      <w:bookmarkEnd w:id="0"/>
      <w:r>
        <w:t xml:space="preserve">Strateginio planavimo </w:t>
      </w:r>
      <w:r w:rsidR="00BD10B2">
        <w:t>tikslas išskirti esminius (9 tikrai per daug) prioritetus ir sutelkti į užsibrėžtų tikslų ir norimų rezultatų pasiekimą pagrindinius žmogiškuosius ir finansinius resursus.</w:t>
      </w:r>
    </w:p>
    <w:p w14:paraId="01F1E0D6" w14:textId="22E1F880" w:rsidR="005D744C" w:rsidRDefault="005D744C" w:rsidP="008F181F">
      <w:pPr>
        <w:ind w:left="360"/>
        <w:jc w:val="both"/>
      </w:pPr>
      <w:r w:rsidRPr="0053576A">
        <w:rPr>
          <w:b/>
        </w:rPr>
        <w:lastRenderedPageBreak/>
        <w:t>SIŪLYMAS</w:t>
      </w:r>
      <w:r>
        <w:t xml:space="preserve">: įtraukti visuomenės atstovus ir tarybos narius į trimetės strategijos formavimo </w:t>
      </w:r>
      <w:r w:rsidR="0053576A">
        <w:t>pirminį etapą metų gale. Nuo seno gyvuojantis strategijos formavimo būdas priimti departamentų vadovų “pageidavimus” ir juos “karpyti”, stengiantis sutilpti į praėjusio laikotarpo programų proporcijas, yra netinkamas.</w:t>
      </w:r>
    </w:p>
    <w:p w14:paraId="03E9934B" w14:textId="66329D45" w:rsidR="00BD10B2" w:rsidRDefault="00BD10B2" w:rsidP="008F181F">
      <w:pPr>
        <w:ind w:left="360"/>
        <w:jc w:val="both"/>
      </w:pPr>
      <w:r w:rsidRPr="005D744C">
        <w:rPr>
          <w:b/>
        </w:rPr>
        <w:t>KLAUSIMAS</w:t>
      </w:r>
      <w:r>
        <w:t xml:space="preserve">: kodėl pirmajam įvardintam prioritetui – Aplinkosaugai – skiriama </w:t>
      </w:r>
      <w:r w:rsidR="00ED2E37">
        <w:t>mažesnė suma nei 2019 metais (</w:t>
      </w:r>
      <w:r>
        <w:t>tik 3,9 proc. bendro biudžeto</w:t>
      </w:r>
      <w:r w:rsidR="00ED2E37">
        <w:t>)</w:t>
      </w:r>
      <w:r>
        <w:t>?</w:t>
      </w:r>
      <w:r w:rsidR="00ED2E37">
        <w:t xml:space="preserve"> Grigeo Klaipėda atvejis, visų miesto nutekamųjų vandenų nevalymo problema nėra pakankamas pagrindas skirti šiai programai deramą dėmesį?</w:t>
      </w:r>
    </w:p>
    <w:p w14:paraId="34E097AB" w14:textId="01EC7C05" w:rsidR="004E3088" w:rsidRDefault="00A2314E" w:rsidP="008F181F">
      <w:pPr>
        <w:pStyle w:val="ListParagraph"/>
        <w:numPr>
          <w:ilvl w:val="0"/>
          <w:numId w:val="1"/>
        </w:numPr>
        <w:ind w:left="360"/>
        <w:jc w:val="both"/>
      </w:pPr>
      <w:r w:rsidRPr="00A2314E">
        <w:rPr>
          <w:bCs/>
        </w:rPr>
        <w:t xml:space="preserve">Klaipėdos miesto savivaldybės, kaip institucijos, </w:t>
      </w:r>
      <w:r w:rsidRPr="00A2314E">
        <w:rPr>
          <w:b/>
          <w:bCs/>
        </w:rPr>
        <w:t xml:space="preserve">misija – </w:t>
      </w:r>
      <w:r w:rsidRPr="00A2314E">
        <w:rPr>
          <w:b/>
        </w:rPr>
        <w:t>t</w:t>
      </w:r>
      <w:r w:rsidRPr="00A2314E">
        <w:rPr>
          <w:b/>
          <w:bCs/>
        </w:rPr>
        <w:t xml:space="preserve">eikti miesto bendruomenei kokybiškas paslaugas, </w:t>
      </w:r>
      <w:r w:rsidRPr="00A2314E">
        <w:rPr>
          <w:b/>
        </w:rPr>
        <w:t>atitinkančias išreikštus poreikius bei lūkesčius</w:t>
      </w:r>
      <w:r w:rsidRPr="00AD1052">
        <w:t>.</w:t>
      </w:r>
      <w:r>
        <w:t xml:space="preserve"> </w:t>
      </w:r>
      <w:r w:rsidR="0017264C">
        <w:t>Prašau argumentuoti</w:t>
      </w:r>
      <w:r w:rsidR="00190F56">
        <w:t xml:space="preserve"> ir pagrįsti</w:t>
      </w:r>
      <w:r w:rsidR="0017264C">
        <w:t>:</w:t>
      </w:r>
    </w:p>
    <w:p w14:paraId="151686E6" w14:textId="77777777" w:rsidR="004E3088" w:rsidRDefault="0017264C" w:rsidP="004B5C02">
      <w:pPr>
        <w:pStyle w:val="ListParagraph"/>
        <w:numPr>
          <w:ilvl w:val="1"/>
          <w:numId w:val="1"/>
        </w:numPr>
        <w:ind w:left="1260"/>
        <w:jc w:val="both"/>
      </w:pPr>
      <w:r>
        <w:t>k</w:t>
      </w:r>
      <w:r w:rsidR="00A2314E">
        <w:t>aip Danės skvero projektas, beprasmiškai pabranginus jį keliais milijonais eurų dėl vienų granito plokščių sąmatoje pakeitimo kitomis – „kokybiškesnėmis“</w:t>
      </w:r>
      <w:r>
        <w:t>,</w:t>
      </w:r>
      <w:r w:rsidR="00A2314E">
        <w:t xml:space="preserve"> atitinka miestiečių išreikštus poreikius bei lūkesčius? </w:t>
      </w:r>
    </w:p>
    <w:p w14:paraId="479A33C5" w14:textId="58448E54" w:rsidR="004E3088" w:rsidRDefault="00190F56" w:rsidP="004B5C02">
      <w:pPr>
        <w:pStyle w:val="ListParagraph"/>
        <w:numPr>
          <w:ilvl w:val="1"/>
          <w:numId w:val="1"/>
        </w:numPr>
        <w:ind w:left="1260"/>
        <w:jc w:val="both"/>
      </w:pPr>
      <w:r>
        <w:t>k</w:t>
      </w:r>
      <w:r w:rsidR="00E478FF">
        <w:t xml:space="preserve">aip tai </w:t>
      </w:r>
      <w:r w:rsidR="00E478FF" w:rsidRPr="004E3088">
        <w:rPr>
          <w:rFonts w:ascii="&amp;quot" w:hAnsi="&amp;quot"/>
          <w:color w:val="000000"/>
        </w:rPr>
        <w:t>užtikriną „veiksmingą savivaldybės finansų planavimą ir panaudojimą“?</w:t>
      </w:r>
    </w:p>
    <w:p w14:paraId="632574FE" w14:textId="3B8B8F57" w:rsidR="004E3088" w:rsidRDefault="00190F56" w:rsidP="004B5C02">
      <w:pPr>
        <w:pStyle w:val="ListParagraph"/>
        <w:numPr>
          <w:ilvl w:val="1"/>
          <w:numId w:val="1"/>
        </w:numPr>
        <w:ind w:left="1260"/>
        <w:jc w:val="both"/>
      </w:pPr>
      <w:r>
        <w:t>k</w:t>
      </w:r>
      <w:r w:rsidR="00A2314E">
        <w:t>uo remiantis, kokia vieša apklausa ar nuomonės tyrimais, grindžiamas toks sprendimas?</w:t>
      </w:r>
    </w:p>
    <w:p w14:paraId="0D58632A" w14:textId="6D1DFDEA" w:rsidR="00A2314E" w:rsidRDefault="00A2314E" w:rsidP="004B5C02">
      <w:pPr>
        <w:ind w:left="1260"/>
        <w:jc w:val="both"/>
      </w:pPr>
      <w:r>
        <w:t xml:space="preserve">Miestiečiai nori pakankamai atliepiančių jų lūkesčius sprendimų ir kuo daugiau sprendimų, kuriuos galima įgyvendinti ribotais ištekliais per kuo trumpesnį laiką. „Brangesnės“ granito plokštės, kurių kainos pagrįstumą KBA prašys tirti LR veikiančias kontrolės institucijas, neatliepia jų poreikių. </w:t>
      </w:r>
    </w:p>
    <w:p w14:paraId="32A2F75D" w14:textId="1ED6BEC8" w:rsidR="004E3088" w:rsidRDefault="006135D7" w:rsidP="008F181F">
      <w:pPr>
        <w:pStyle w:val="ListParagraph"/>
        <w:numPr>
          <w:ilvl w:val="0"/>
          <w:numId w:val="1"/>
        </w:numPr>
        <w:ind w:left="360"/>
        <w:jc w:val="both"/>
      </w:pPr>
      <w:r w:rsidRPr="006135D7">
        <w:t>10</w:t>
      </w:r>
      <w:r>
        <w:t xml:space="preserve">-ai Ugdymo proceso užtikrinimo programai skiriama didžiausia biudžeto suma </w:t>
      </w:r>
      <w:r w:rsidRPr="006135D7">
        <w:t>105</w:t>
      </w:r>
      <w:r>
        <w:t> </w:t>
      </w:r>
      <w:r w:rsidRPr="006135D7">
        <w:t>995</w:t>
      </w:r>
      <w:r>
        <w:t> </w:t>
      </w:r>
      <w:r w:rsidRPr="006135D7">
        <w:t>7</w:t>
      </w:r>
      <w:r>
        <w:t>00 eurų (i</w:t>
      </w:r>
      <w:r w:rsidRPr="006135D7">
        <w:t>š jų Valstybės biudžeto specialiosios tikslinės dotacijos lėšos SB(VB) - 45</w:t>
      </w:r>
      <w:r>
        <w:t> </w:t>
      </w:r>
      <w:r w:rsidRPr="006135D7">
        <w:t>618</w:t>
      </w:r>
      <w:r>
        <w:t> </w:t>
      </w:r>
      <w:r w:rsidRPr="006135D7">
        <w:t>1</w:t>
      </w:r>
      <w:r>
        <w:t xml:space="preserve">00 eur). Tai sudaro </w:t>
      </w:r>
      <w:r w:rsidRPr="006135D7">
        <w:t>38,6%</w:t>
      </w:r>
      <w:r>
        <w:t xml:space="preserve"> bendro miesto 2020 m. biudžeto.</w:t>
      </w:r>
      <w:r w:rsidR="009A681A">
        <w:t xml:space="preserve"> </w:t>
      </w:r>
    </w:p>
    <w:p w14:paraId="2F61B7C1" w14:textId="1614C949" w:rsidR="009A681A" w:rsidRDefault="009A681A" w:rsidP="009A681A">
      <w:pPr>
        <w:ind w:left="360"/>
        <w:jc w:val="both"/>
      </w:pPr>
      <w:r>
        <w:t>Atliktas įstaigų skelbiamų ir savivaldybės pateiktų duomenų vertinimas</w:t>
      </w:r>
      <w:r w:rsidR="004E09A6">
        <w:t xml:space="preserve"> (detaliau - xlsx failas “</w:t>
      </w:r>
      <w:r w:rsidR="004E09A6" w:rsidRPr="004E09A6">
        <w:t>Klaipėdos miesto ugdymo įstaigos_netolygumai</w:t>
      </w:r>
      <w:r w:rsidR="004E09A6">
        <w:t>”)</w:t>
      </w:r>
      <w:r>
        <w:t>:</w:t>
      </w:r>
    </w:p>
    <w:p w14:paraId="02E7B9DD" w14:textId="77777777" w:rsidR="009A681A" w:rsidRDefault="009A681A" w:rsidP="009A681A">
      <w:pPr>
        <w:pStyle w:val="ListParagraph"/>
        <w:numPr>
          <w:ilvl w:val="1"/>
          <w:numId w:val="1"/>
        </w:numPr>
        <w:ind w:left="1260"/>
        <w:jc w:val="both"/>
      </w:pPr>
      <w:r w:rsidRPr="009A681A">
        <w:t xml:space="preserve">Klaipėdos miesto savivaldybės ikimokyklinio ugdymo įstaigose darbuotojų atlyginimų vidurkis skiriasi 68 proc. (imant mažiausią ir didžiasią vidurkį), pagrindinio ugdymo įstaigų skirtumas - net 73 proc. Akivaizdu, kad viename mieste toks skirtingų tos pačios srities įstaigų atlygių skirtumas neturi būti toks didelis. Atmetus atlyginimo mokėjimo vokeliuose prielaidą (visos dotacijos oficialios), lieka netinkamo skaičiaus darbuotojų išlaikymas (gal net "mirusių sielų"), </w:t>
      </w:r>
      <w:r>
        <w:t>netinkama proporcija tarp administracijos ir ugdymo specialistų skaičiaus, neadekvati ūkiui skiriama lėšų suma</w:t>
      </w:r>
      <w:r w:rsidRPr="009A681A">
        <w:t xml:space="preserve">. </w:t>
      </w:r>
    </w:p>
    <w:p w14:paraId="0544B6F7" w14:textId="1C2EE86C" w:rsidR="009A681A" w:rsidRDefault="009A681A" w:rsidP="009A681A">
      <w:pPr>
        <w:pStyle w:val="ListParagraph"/>
        <w:numPr>
          <w:ilvl w:val="1"/>
          <w:numId w:val="1"/>
        </w:numPr>
        <w:ind w:left="1260"/>
        <w:jc w:val="both"/>
      </w:pPr>
      <w:r w:rsidRPr="009A681A">
        <w:t>Vienam ikimokyklinių įstaigų darbuotojui tenkančių vaikų skaičius skirtingose miesto įstaigose skiriasi 3,5 karto.</w:t>
      </w:r>
    </w:p>
    <w:p w14:paraId="4E9734D3" w14:textId="12883D8C" w:rsidR="009A681A" w:rsidRDefault="009A681A" w:rsidP="009A681A">
      <w:pPr>
        <w:pStyle w:val="ListParagraph"/>
        <w:numPr>
          <w:ilvl w:val="1"/>
          <w:numId w:val="1"/>
        </w:numPr>
        <w:ind w:left="1260"/>
        <w:jc w:val="both"/>
      </w:pPr>
      <w:r w:rsidRPr="009A681A">
        <w:t>Mokyklose (atmetus specialiąsias) tenka nuo 4 iki 9 vaikų vienam darbuotojui. Klaipėdos licėjaus rodiklis - 5,6 (geriausia Klaipėdoje ir viena geriausių LT mokyklų). Norint, kad visus 18 tūkst. Klaipėdos moksleivių turėtų 5,6 darbuotojo vidurkį, mums reikėtų tolygiau perskirstyti vaikus ir mokytojus, bet net tuo atveju mums trūktų 400 žmonių Klaipėdoje - kiek iš jų mokytojai? (paskaičiuosiu tik matydamas mokymo įstaigų struktūrą).</w:t>
      </w:r>
    </w:p>
    <w:p w14:paraId="4BAF471C" w14:textId="43D9468F" w:rsidR="009A681A" w:rsidRDefault="009A681A" w:rsidP="009A681A">
      <w:pPr>
        <w:ind w:left="360"/>
        <w:jc w:val="both"/>
      </w:pPr>
      <w:r w:rsidRPr="009A681A">
        <w:rPr>
          <w:b/>
        </w:rPr>
        <w:t>SIŪLYMAS</w:t>
      </w:r>
      <w:r w:rsidRPr="009A681A">
        <w:t xml:space="preserve">: atlikti </w:t>
      </w:r>
      <w:r>
        <w:t xml:space="preserve">visų pavaldžių įstaigų </w:t>
      </w:r>
      <w:r w:rsidRPr="009A681A">
        <w:t xml:space="preserve">vertinimą </w:t>
      </w:r>
      <w:r>
        <w:t xml:space="preserve">ir </w:t>
      </w:r>
      <w:r w:rsidRPr="009A681A">
        <w:t>pateikti nurodymus piknaudžiaujantiems ar išlaikantiems per didelius "dvarus" susitvarkyti</w:t>
      </w:r>
      <w:r>
        <w:t>,</w:t>
      </w:r>
      <w:r w:rsidRPr="009A681A">
        <w:t xml:space="preserve"> atsižvelgiant į pateiktas po vertinimo rekomendacijas. </w:t>
      </w:r>
      <w:r w:rsidRPr="009A681A">
        <w:rPr>
          <w:b/>
        </w:rPr>
        <w:t>Vertinimas - ne tik analizė ir rekomendacijos, bet ir jų įgyvendinimo kontrolė</w:t>
      </w:r>
      <w:r w:rsidRPr="009A681A">
        <w:t>!</w:t>
      </w:r>
    </w:p>
    <w:p w14:paraId="0174C5D4" w14:textId="11FCA7D2" w:rsidR="00DD237B" w:rsidRDefault="00DD237B" w:rsidP="009A681A">
      <w:pPr>
        <w:ind w:left="360"/>
        <w:jc w:val="both"/>
      </w:pPr>
      <w:r>
        <w:rPr>
          <w:b/>
        </w:rPr>
        <w:t>PRAŠYMAS</w:t>
      </w:r>
      <w:r w:rsidRPr="007619B2">
        <w:t>:</w:t>
      </w:r>
      <w:r>
        <w:t xml:space="preserve"> pateikite sutartį su </w:t>
      </w:r>
      <w:r w:rsidRPr="00DD237B">
        <w:t>UAB „Mažasis Klaipėdos licėjus“</w:t>
      </w:r>
      <w:r>
        <w:t xml:space="preserve">, įstaiga, kuriai pagal </w:t>
      </w:r>
      <w:r w:rsidR="00EF6B72">
        <w:t>KMS Švietimo skyriaus pateiktus duomenis, yra pervedami pinigai už 63 ten ugdomus vaikus (46 iš jų ikimokyklinukai).</w:t>
      </w:r>
    </w:p>
    <w:p w14:paraId="0FADD790" w14:textId="77777777" w:rsidR="009A681A" w:rsidRDefault="009A681A" w:rsidP="009A681A">
      <w:pPr>
        <w:ind w:left="360"/>
        <w:jc w:val="both"/>
      </w:pPr>
    </w:p>
    <w:p w14:paraId="4BCF289D" w14:textId="5AEA776C" w:rsidR="009A681A" w:rsidRDefault="009A681A" w:rsidP="009A681A">
      <w:pPr>
        <w:pStyle w:val="ListParagraph"/>
        <w:numPr>
          <w:ilvl w:val="0"/>
          <w:numId w:val="1"/>
        </w:numPr>
        <w:ind w:left="360"/>
        <w:jc w:val="both"/>
      </w:pPr>
      <w:r w:rsidRPr="009A681A">
        <w:t xml:space="preserve">Vidutinė </w:t>
      </w:r>
      <w:r>
        <w:t xml:space="preserve">98 </w:t>
      </w:r>
      <w:r w:rsidRPr="009A681A">
        <w:t>Investicinių projektų vykdymo trukmė - 3,7 metai.</w:t>
      </w:r>
      <w:r w:rsidR="00146216">
        <w:t xml:space="preserve"> Ši paveldėta iš ankstesnio nevaldomų norų periodo situacija privalo būti keičiama. Ji neleidžia savivaldybei tinkamai planuoti, miestiečiams dėl per ilgai vykdomų infrastruktūros ir kelių projektų sudaromos nepalankios gyvenimo sąlygos, projektai dėl per ilgo vykdymo termino išbrangsta, nes rangovai </w:t>
      </w:r>
      <w:r w:rsidR="00146216">
        <w:lastRenderedPageBreak/>
        <w:t>susiduria su sunkiai prognozuojamomis aplinkybėmis. Trumpesnis projektų vykdymo terminas būtų naudingas ir savivaldybei, ir gyventojams, ir vykdytojams.</w:t>
      </w:r>
    </w:p>
    <w:p w14:paraId="518D09B8" w14:textId="4F89FAD2" w:rsidR="009A681A" w:rsidRDefault="009A681A" w:rsidP="009A681A">
      <w:pPr>
        <w:ind w:left="360"/>
        <w:jc w:val="both"/>
      </w:pPr>
      <w:r w:rsidRPr="009A681A">
        <w:rPr>
          <w:b/>
        </w:rPr>
        <w:t>SIŪLYMAS</w:t>
      </w:r>
      <w:r>
        <w:t xml:space="preserve">: revizuoti visus Investicinius projektus, prioretizuoti, atrinkti jau realizuojamus ir išdėstyti </w:t>
      </w:r>
      <w:r w:rsidR="00146216">
        <w:t>telpančių į biudžetą</w:t>
      </w:r>
      <w:r>
        <w:t xml:space="preserve"> realizacijos terminą iki </w:t>
      </w:r>
      <w:r w:rsidR="00146216">
        <w:t xml:space="preserve">6 - </w:t>
      </w:r>
      <w:r>
        <w:t>24 mėn. periode. V</w:t>
      </w:r>
      <w:r w:rsidR="00146216">
        <w:t>isus nepradėtus iškelti į atskirą Rezervo sąrašą, iš kurio į veiklos planą būtų keliami atrinktieji pagal atnaujintą poreikį tik tada, kai atsirastų lėšų ir laiko rezervas projektų planavimo programoje. Būtina įsigyti ir užtikrinti visuotiną naudojimą pažangios projektų valdymo programos.</w:t>
      </w:r>
    </w:p>
    <w:p w14:paraId="48A4AED3" w14:textId="77777777" w:rsidR="00146216" w:rsidRDefault="00146216" w:rsidP="00146216">
      <w:pPr>
        <w:pStyle w:val="ListParagraph"/>
        <w:numPr>
          <w:ilvl w:val="0"/>
          <w:numId w:val="1"/>
        </w:numPr>
        <w:ind w:left="360"/>
        <w:jc w:val="both"/>
      </w:pPr>
      <w:r w:rsidRPr="00146216">
        <w:t>Danės skvero projektas - Atvira Klaipėda (2020 01 29): "Savivaldybės administracijos tarnautoja aiškino, kad didžiausią pabrangimą – apie 3 mln. eurų – sugeneravusi šiurkštaus granito plokščių danga atsirado miesto bedruomenių pageidavimu."</w:t>
      </w:r>
    </w:p>
    <w:p w14:paraId="7B683CED" w14:textId="148545EC" w:rsidR="00146216" w:rsidRDefault="00146216" w:rsidP="00146216">
      <w:pPr>
        <w:ind w:left="360"/>
        <w:jc w:val="both"/>
      </w:pPr>
      <w:r w:rsidRPr="007619B2">
        <w:rPr>
          <w:b/>
        </w:rPr>
        <w:t>KLAUSIMAS</w:t>
      </w:r>
      <w:r>
        <w:t xml:space="preserve">: </w:t>
      </w:r>
      <w:r w:rsidRPr="00146216">
        <w:t>kas pageidavo? Gali</w:t>
      </w:r>
      <w:r>
        <w:t>te pateikti</w:t>
      </w:r>
      <w:r w:rsidRPr="00146216">
        <w:t xml:space="preserve"> protokolą ar prašymo kopiją?</w:t>
      </w:r>
    </w:p>
    <w:p w14:paraId="57D831DE" w14:textId="0FB827B1" w:rsidR="00146216" w:rsidRDefault="00146216" w:rsidP="00146216">
      <w:pPr>
        <w:ind w:left="360"/>
        <w:jc w:val="both"/>
      </w:pPr>
      <w:r w:rsidRPr="007619B2">
        <w:rPr>
          <w:b/>
        </w:rPr>
        <w:t>SIŪLYMAS</w:t>
      </w:r>
      <w:r>
        <w:t xml:space="preserve">: </w:t>
      </w:r>
      <w:r w:rsidR="007619B2">
        <w:t>grįžti prie pigesnio granito įsigijimo sprendimo, viešinto visuomenei projektuotojų dar 2018 m. lapkričio 13 d. pristatyme (projekto vertė su granito plokštėmis buvo 5,9 mln. EUR).</w:t>
      </w:r>
    </w:p>
    <w:p w14:paraId="26D761EE" w14:textId="684C3531" w:rsidR="007619B2" w:rsidRDefault="007619B2" w:rsidP="007619B2">
      <w:pPr>
        <w:pStyle w:val="ListParagraph"/>
        <w:numPr>
          <w:ilvl w:val="0"/>
          <w:numId w:val="1"/>
        </w:numPr>
        <w:ind w:left="360"/>
        <w:jc w:val="both"/>
      </w:pPr>
      <w:r w:rsidRPr="007619B2">
        <w:t>Vaikų žaidimo aikštelės - 2018 strateginiame buvo numatyta po 5 kasmet (iki 2020) statyti, 2019 strateginiame liko po 3, šiais metais kilo 1</w:t>
      </w:r>
      <w:r>
        <w:t>.</w:t>
      </w:r>
    </w:p>
    <w:p w14:paraId="4EA18FA3" w14:textId="0D9B85CE" w:rsidR="007619B2" w:rsidRDefault="007619B2" w:rsidP="007619B2">
      <w:pPr>
        <w:ind w:left="360"/>
        <w:jc w:val="both"/>
      </w:pPr>
      <w:r w:rsidRPr="007619B2">
        <w:rPr>
          <w:b/>
        </w:rPr>
        <w:t>KLAUSIMAS</w:t>
      </w:r>
      <w:r>
        <w:t>: kodėl nevykdoma prieš du metus patvirtinta programa 2018-2020 metų periode pastatyti kasmet po 5 vaikų žaidimų aikšteles (kiekviena ~ 37 tūkst. EUR vertės).</w:t>
      </w:r>
    </w:p>
    <w:p w14:paraId="6CAC897A" w14:textId="3A926BF4" w:rsidR="007619B2" w:rsidRDefault="007619B2" w:rsidP="007619B2">
      <w:pPr>
        <w:ind w:left="360"/>
        <w:jc w:val="both"/>
      </w:pPr>
      <w:r>
        <w:rPr>
          <w:b/>
        </w:rPr>
        <w:t>PRAŠYMAS</w:t>
      </w:r>
      <w:r w:rsidRPr="007619B2">
        <w:t>:</w:t>
      </w:r>
      <w:r>
        <w:t xml:space="preserve"> 2020-01-29 dieną strateginio veiklos plano pristatymo metu savivaldybės tarnautoja minėjo 5 vaikų aikšteles, kurios “bus pastatytos 2020 metais per kitus vykdomus projektus” – pateikite tų projektų sąrašą.</w:t>
      </w:r>
    </w:p>
    <w:p w14:paraId="0630536C" w14:textId="283E3E09" w:rsidR="007619B2" w:rsidRDefault="00DD237B" w:rsidP="00DD237B">
      <w:pPr>
        <w:pStyle w:val="ListParagraph"/>
        <w:numPr>
          <w:ilvl w:val="0"/>
          <w:numId w:val="1"/>
        </w:numPr>
        <w:ind w:left="360"/>
        <w:jc w:val="both"/>
      </w:pPr>
      <w:r w:rsidRPr="00DD237B">
        <w:t xml:space="preserve">Socialinio būsto statybų projektai - naujos statybos būsto kaina rinkoje </w:t>
      </w:r>
      <w:r>
        <w:t xml:space="preserve">daug </w:t>
      </w:r>
      <w:r w:rsidRPr="00DD237B">
        <w:t>mažesnė, nei butų, kuriuos statome iš miesto biudžeto</w:t>
      </w:r>
      <w:r>
        <w:t>.</w:t>
      </w:r>
    </w:p>
    <w:p w14:paraId="54634953" w14:textId="1AF7C7B2" w:rsidR="00DD237B" w:rsidRDefault="00DD237B" w:rsidP="00DD237B">
      <w:pPr>
        <w:ind w:left="360"/>
        <w:jc w:val="both"/>
      </w:pPr>
      <w:r>
        <w:rPr>
          <w:b/>
        </w:rPr>
        <w:t>PRAŠYMAS</w:t>
      </w:r>
      <w:r w:rsidRPr="007619B2">
        <w:t>:</w:t>
      </w:r>
      <w:r>
        <w:t xml:space="preserve"> </w:t>
      </w:r>
      <w:r>
        <w:t xml:space="preserve">pateikite duomenis kiek ir kokio naudingo ploto butų yra pastatytame ir bus planuojamame statyti socialinio būsto namuose </w:t>
      </w:r>
      <w:r w:rsidRPr="00DD237B">
        <w:t>Irklų g. 1 ir Rambyno g. 14A</w:t>
      </w:r>
      <w:r>
        <w:t>.</w:t>
      </w:r>
    </w:p>
    <w:p w14:paraId="2EB4BB7A" w14:textId="0CC9BDC8" w:rsidR="00DD237B" w:rsidRDefault="00DD237B" w:rsidP="00DD237B">
      <w:pPr>
        <w:pStyle w:val="ListParagraph"/>
        <w:numPr>
          <w:ilvl w:val="0"/>
          <w:numId w:val="1"/>
        </w:numPr>
        <w:ind w:left="360"/>
        <w:jc w:val="both"/>
      </w:pPr>
      <w:r w:rsidRPr="00DD237B">
        <w:t>Elektrinių automobilių krovimo aikštelės - nenumatyta nei vienos 2020 m.</w:t>
      </w:r>
    </w:p>
    <w:p w14:paraId="3282676A" w14:textId="4DB0C5C0" w:rsidR="00DD237B" w:rsidRDefault="00DD237B" w:rsidP="00DD237B">
      <w:pPr>
        <w:ind w:left="360"/>
        <w:jc w:val="both"/>
      </w:pPr>
      <w:r>
        <w:rPr>
          <w:b/>
        </w:rPr>
        <w:t>PRAŠYMAS</w:t>
      </w:r>
      <w:r w:rsidRPr="007619B2">
        <w:t>:</w:t>
      </w:r>
      <w:r>
        <w:t xml:space="preserve"> pagrįskite, kokiais duomenimis remdamiesi nusprendėte, kad miestui nereikia elektro automobilių krovimo stotelių?</w:t>
      </w:r>
    </w:p>
    <w:p w14:paraId="119F2641" w14:textId="1DBADDA7" w:rsidR="00DD237B" w:rsidRDefault="00DD237B" w:rsidP="00DD237B">
      <w:pPr>
        <w:pStyle w:val="ListParagraph"/>
        <w:numPr>
          <w:ilvl w:val="0"/>
          <w:numId w:val="1"/>
        </w:numPr>
        <w:ind w:left="360"/>
        <w:jc w:val="both"/>
      </w:pPr>
      <w:r w:rsidRPr="00DD237B">
        <w:t>Dviračių takai - trūksta holistinio požiūrio. Tvarkomos atskiros atkarpos, nebandant užtikrinti sujungimo ir vientisumo. Pietinės miesto dalies gyventojai teigia, kad rajonuose nuo Statybininkų prospekto iki Jūrininkų prospekto dviračių takų net nėra.</w:t>
      </w:r>
    </w:p>
    <w:p w14:paraId="24D6143B" w14:textId="77576FDB" w:rsidR="00DD237B" w:rsidRDefault="00DD237B" w:rsidP="00DD237B">
      <w:pPr>
        <w:ind w:left="360"/>
        <w:jc w:val="both"/>
      </w:pPr>
      <w:r>
        <w:rPr>
          <w:b/>
        </w:rPr>
        <w:t>PRAŠYMAS</w:t>
      </w:r>
      <w:r w:rsidRPr="007619B2">
        <w:t>:</w:t>
      </w:r>
      <w:r>
        <w:t xml:space="preserve"> pasidalinkite vizija, kaip planuojate spręsti dviračių takų prieinamumo, </w:t>
      </w:r>
      <w:r w:rsidRPr="00DD237B">
        <w:t>sujungimo ir vientisumo</w:t>
      </w:r>
      <w:r>
        <w:t xml:space="preserve"> klausimą.</w:t>
      </w:r>
    </w:p>
    <w:p w14:paraId="74192DF3" w14:textId="77777777" w:rsidR="00B506F6" w:rsidRDefault="00FD4B3F" w:rsidP="00FD4B3F">
      <w:pPr>
        <w:pStyle w:val="ListParagraph"/>
        <w:numPr>
          <w:ilvl w:val="0"/>
          <w:numId w:val="1"/>
        </w:numPr>
        <w:ind w:left="360"/>
        <w:jc w:val="both"/>
      </w:pPr>
      <w:r w:rsidRPr="00FD4B3F">
        <w:t>VALDYMO PROGRAMO</w:t>
      </w:r>
      <w:r>
        <w:t>JE</w:t>
      </w:r>
      <w:r w:rsidRPr="00FD4B3F">
        <w:t xml:space="preserve"> (NR. 03)</w:t>
      </w:r>
      <w:r>
        <w:t xml:space="preserve"> nurodyta, kad </w:t>
      </w:r>
      <w:r w:rsidRPr="00FD4B3F">
        <w:t>Savivaldybės administracijos darbuotojų etatų skaičius</w:t>
      </w:r>
      <w:r>
        <w:t xml:space="preserve"> </w:t>
      </w:r>
      <w:r w:rsidRPr="00FD4B3F">
        <w:t>2019-11-28 Nr.T2-334 nustatytas didžiausias leistinas valstybės tarnautojų ir darbuotojų skaičius – 432,5</w:t>
      </w:r>
      <w:r>
        <w:t>. R</w:t>
      </w:r>
      <w:r w:rsidRPr="00FD4B3F">
        <w:t xml:space="preserve">ekvizitai.vz.lt </w:t>
      </w:r>
      <w:r>
        <w:t>(</w:t>
      </w:r>
      <w:r w:rsidRPr="00FD4B3F">
        <w:t>2020 01</w:t>
      </w:r>
      <w:r>
        <w:t xml:space="preserve">) skelbia, kad darbuotojų 474. </w:t>
      </w:r>
    </w:p>
    <w:p w14:paraId="5E5C14BA" w14:textId="4059BE72" w:rsidR="00FD4B3F" w:rsidRPr="00FD4B3F" w:rsidRDefault="00B506F6" w:rsidP="00B506F6">
      <w:pPr>
        <w:ind w:left="360"/>
        <w:jc w:val="both"/>
      </w:pPr>
      <w:r w:rsidRPr="007619B2">
        <w:rPr>
          <w:b/>
        </w:rPr>
        <w:t>KLAUSIMAS</w:t>
      </w:r>
      <w:r>
        <w:t xml:space="preserve">: </w:t>
      </w:r>
      <w:r w:rsidR="00FD4B3F">
        <w:t xml:space="preserve">Kiek </w:t>
      </w:r>
      <w:r>
        <w:t xml:space="preserve">KMSA </w:t>
      </w:r>
      <w:r w:rsidR="00FD4B3F">
        <w:t>darbuotojų</w:t>
      </w:r>
      <w:r>
        <w:t>/tarnautojų</w:t>
      </w:r>
      <w:r w:rsidR="00FD4B3F">
        <w:t xml:space="preserve"> dirba </w:t>
      </w:r>
      <w:r>
        <w:t>nepilnu etatu?</w:t>
      </w:r>
    </w:p>
    <w:p w14:paraId="706B0B0F" w14:textId="4189E9B0" w:rsidR="00DD237B" w:rsidRDefault="00457295" w:rsidP="00DD237B">
      <w:pPr>
        <w:pStyle w:val="ListParagraph"/>
        <w:numPr>
          <w:ilvl w:val="0"/>
          <w:numId w:val="1"/>
        </w:numPr>
        <w:ind w:left="360"/>
        <w:jc w:val="both"/>
      </w:pPr>
      <w:r>
        <w:t>Prie investicinių projektų kainų neskelbiama investicinio projekto parengimo, projektavimo darbų kaina.</w:t>
      </w:r>
    </w:p>
    <w:p w14:paraId="62D6DF39" w14:textId="079D4409" w:rsidR="00457295" w:rsidRDefault="00457295" w:rsidP="00457295">
      <w:pPr>
        <w:ind w:left="360"/>
        <w:jc w:val="both"/>
      </w:pPr>
      <w:r w:rsidRPr="00457295">
        <w:rPr>
          <w:b/>
        </w:rPr>
        <w:t>PRAŠYMAS</w:t>
      </w:r>
      <w:r w:rsidRPr="007619B2">
        <w:t>:</w:t>
      </w:r>
      <w:r>
        <w:t xml:space="preserve"> nurodyti 98 atskiroje lentelėje skelbiamų </w:t>
      </w:r>
      <w:r>
        <w:t>Investicinių projektų</w:t>
      </w:r>
      <w:r>
        <w:t xml:space="preserve"> sąraše ir visų su planavimu ir projektavimu susijusių išlaidų vertes. Pateikti lentelę susipažinimui iki 2020 02 24.</w:t>
      </w:r>
    </w:p>
    <w:p w14:paraId="3747B6B5" w14:textId="0B0BE3CB" w:rsidR="00457295" w:rsidRDefault="008D56EF" w:rsidP="00457295">
      <w:pPr>
        <w:pStyle w:val="ListParagraph"/>
        <w:numPr>
          <w:ilvl w:val="0"/>
          <w:numId w:val="1"/>
        </w:numPr>
        <w:ind w:left="360"/>
        <w:jc w:val="both"/>
      </w:pPr>
      <w:r w:rsidRPr="008D56EF">
        <w:t>SUSISIEKIMO SISTEMOS PRIEŽIŪROS IR PLĖTROS PROGRAMO</w:t>
      </w:r>
      <w:r>
        <w:t>JE</w:t>
      </w:r>
      <w:r w:rsidRPr="008D56EF">
        <w:t xml:space="preserve"> (NR. 06)</w:t>
      </w:r>
      <w:r>
        <w:t xml:space="preserve"> nurodyta priemonė: </w:t>
      </w:r>
      <w:r w:rsidRPr="008D56EF">
        <w:t>Uostamiesčiai: darnaus judumo principų integravimas (PORT Cities: Integrating Sustainability, PORTIS)</w:t>
      </w:r>
      <w:r>
        <w:t xml:space="preserve"> &gt; </w:t>
      </w:r>
      <w:r w:rsidRPr="008D56EF">
        <w:t>Įdiegta transporto (I etapas) valdymo sistema. Užbaigtumas</w:t>
      </w:r>
      <w:r>
        <w:t xml:space="preserve"> 2020 metais 100 </w:t>
      </w:r>
      <w:r w:rsidRPr="008D56EF">
        <w:t>proc.</w:t>
      </w:r>
      <w:r>
        <w:t xml:space="preserve">; </w:t>
      </w:r>
      <w:r w:rsidRPr="008D56EF">
        <w:t xml:space="preserve">Įdiegta dviračių saugojimo (angl. bike-storing) sistema, </w:t>
      </w:r>
      <w:r>
        <w:t xml:space="preserve">1 </w:t>
      </w:r>
      <w:r w:rsidRPr="008D56EF">
        <w:t>vnt.</w:t>
      </w:r>
      <w:r>
        <w:t xml:space="preserve"> 2020 metais. Bendra 2020 metais numatyta panaudoti suma 1 238 700 EUR. </w:t>
      </w:r>
    </w:p>
    <w:p w14:paraId="615A2F71" w14:textId="311041B9" w:rsidR="008D56EF" w:rsidRDefault="008D56EF" w:rsidP="008D56EF">
      <w:pPr>
        <w:ind w:left="360"/>
        <w:jc w:val="both"/>
      </w:pPr>
      <w:r w:rsidRPr="00457295">
        <w:rPr>
          <w:b/>
        </w:rPr>
        <w:t>PRAŠYMAS</w:t>
      </w:r>
      <w:r w:rsidRPr="007619B2">
        <w:t>:</w:t>
      </w:r>
      <w:r>
        <w:t xml:space="preserve"> pateikite susipažinimui atliekamų darbų detalizaciją.</w:t>
      </w:r>
    </w:p>
    <w:p w14:paraId="191BEB05" w14:textId="72269C71" w:rsidR="008D56EF" w:rsidRDefault="008D56EF" w:rsidP="008D56EF">
      <w:pPr>
        <w:pStyle w:val="ListParagraph"/>
        <w:numPr>
          <w:ilvl w:val="0"/>
          <w:numId w:val="1"/>
        </w:numPr>
        <w:ind w:left="360"/>
        <w:jc w:val="both"/>
      </w:pPr>
      <w:r w:rsidRPr="008D56EF">
        <w:t>Atgimimo aikštės sutvarkymas, didinant patrauklumą investicijoms, skatinant lankytojų srautus</w:t>
      </w:r>
      <w:r>
        <w:t xml:space="preserve">. </w:t>
      </w:r>
    </w:p>
    <w:p w14:paraId="4E4C81DA" w14:textId="137D5DFF" w:rsidR="008D56EF" w:rsidRDefault="008D56EF" w:rsidP="008D56EF">
      <w:pPr>
        <w:ind w:left="360"/>
        <w:jc w:val="both"/>
      </w:pPr>
      <w:r w:rsidRPr="007619B2">
        <w:rPr>
          <w:b/>
        </w:rPr>
        <w:t>KLAUSIMAS</w:t>
      </w:r>
      <w:r>
        <w:t>:</w:t>
      </w:r>
      <w:r>
        <w:t xml:space="preserve"> kokia įmonė </w:t>
      </w:r>
      <w:r w:rsidR="00A771A0">
        <w:t>rengia</w:t>
      </w:r>
      <w:r w:rsidR="00A771A0" w:rsidRPr="00A771A0">
        <w:t xml:space="preserve"> technin</w:t>
      </w:r>
      <w:r w:rsidR="00A771A0">
        <w:t>į</w:t>
      </w:r>
      <w:r w:rsidR="00A771A0" w:rsidRPr="00A771A0">
        <w:t xml:space="preserve"> projekt</w:t>
      </w:r>
      <w:r w:rsidR="00A771A0">
        <w:t xml:space="preserve">ą? </w:t>
      </w:r>
    </w:p>
    <w:p w14:paraId="4B8BBA9B" w14:textId="0D21F9A3" w:rsidR="00A771A0" w:rsidRDefault="00A771A0" w:rsidP="008D56EF">
      <w:pPr>
        <w:ind w:left="360"/>
        <w:jc w:val="both"/>
      </w:pPr>
      <w:r w:rsidRPr="00457295">
        <w:rPr>
          <w:b/>
        </w:rPr>
        <w:t>PRAŠYMAS</w:t>
      </w:r>
      <w:r w:rsidRPr="007619B2">
        <w:t>:</w:t>
      </w:r>
      <w:r>
        <w:t xml:space="preserve"> atsiųskite techninio projekto parengimo sąlygas susipažinimui.</w:t>
      </w:r>
    </w:p>
    <w:p w14:paraId="6B72934A" w14:textId="0F469F6C" w:rsidR="00A771A0" w:rsidRDefault="00A771A0" w:rsidP="00A771A0">
      <w:pPr>
        <w:pStyle w:val="ListParagraph"/>
        <w:numPr>
          <w:ilvl w:val="0"/>
          <w:numId w:val="1"/>
        </w:numPr>
        <w:ind w:left="360"/>
        <w:jc w:val="both"/>
      </w:pPr>
      <w:r w:rsidRPr="00A771A0">
        <w:t>Modernaus bendruomenės centro-bibliotekos statyba pietinėje miesto dalyje</w:t>
      </w:r>
      <w:r>
        <w:t>.</w:t>
      </w:r>
    </w:p>
    <w:p w14:paraId="281F5070" w14:textId="076672EE" w:rsidR="00B441DB" w:rsidRDefault="00A771A0" w:rsidP="00A771A0">
      <w:pPr>
        <w:ind w:left="360"/>
      </w:pPr>
      <w:r w:rsidRPr="007619B2">
        <w:rPr>
          <w:b/>
        </w:rPr>
        <w:lastRenderedPageBreak/>
        <w:t>KLAUSIMAS</w:t>
      </w:r>
      <w:r>
        <w:t>:</w:t>
      </w:r>
      <w:r>
        <w:t xml:space="preserve"> kodėl projekto vykdymo pabaiga nukelta 3 metams iki 2026, o jo darbų pradžia iki 2022 net nenumatyta? Danės skvero “pagerinto” granito atsisakymas leistų pradėti ir baigti šiuos darbus iki 2022 m.</w:t>
      </w:r>
    </w:p>
    <w:p w14:paraId="0053D8A6" w14:textId="04FEADC7" w:rsidR="00A771A0" w:rsidRDefault="00CA330B" w:rsidP="00833B2E">
      <w:pPr>
        <w:pStyle w:val="ListParagraph"/>
        <w:numPr>
          <w:ilvl w:val="0"/>
          <w:numId w:val="1"/>
        </w:numPr>
        <w:ind w:left="360"/>
      </w:pPr>
      <w:r>
        <w:t>B</w:t>
      </w:r>
      <w:r w:rsidRPr="00CA330B">
        <w:t xml:space="preserve">endras darbuotojų skaičius </w:t>
      </w:r>
      <w:r>
        <w:t xml:space="preserve">trijose socialinių paslaugų ir </w:t>
      </w:r>
      <w:r w:rsidR="00833B2E">
        <w:t xml:space="preserve">vaikų globos namuose (Smiltelė, Danė, Rytas) – 163. Vaikų visose įstaigose – </w:t>
      </w:r>
      <w:r w:rsidRPr="00CA330B">
        <w:t>96</w:t>
      </w:r>
      <w:r w:rsidR="00833B2E">
        <w:t xml:space="preserve">. T.y. </w:t>
      </w:r>
      <w:r w:rsidRPr="00833B2E">
        <w:rPr>
          <w:b/>
        </w:rPr>
        <w:t>1,7 darbuotojo vienam vaikui.</w:t>
      </w:r>
    </w:p>
    <w:p w14:paraId="395D4C7D" w14:textId="669ED3AC" w:rsidR="00833B2E" w:rsidRDefault="00833B2E" w:rsidP="00833B2E">
      <w:pPr>
        <w:ind w:left="360"/>
      </w:pPr>
      <w:r w:rsidRPr="007619B2">
        <w:rPr>
          <w:b/>
        </w:rPr>
        <w:t>KLAUSIMAS</w:t>
      </w:r>
      <w:r>
        <w:t>:</w:t>
      </w:r>
      <w:r>
        <w:t xml:space="preserve"> ką manote apie tokį darbuotojų skaičių vienam vaikui?</w:t>
      </w:r>
    </w:p>
    <w:p w14:paraId="762B5183" w14:textId="7F161357" w:rsidR="00C021B9" w:rsidRDefault="00C021B9" w:rsidP="00C021B9">
      <w:pPr>
        <w:pStyle w:val="ListParagraph"/>
        <w:numPr>
          <w:ilvl w:val="0"/>
          <w:numId w:val="1"/>
        </w:numPr>
        <w:ind w:left="360"/>
      </w:pPr>
      <w:r w:rsidRPr="00C021B9">
        <w:t>SOCIALINĖS ATSKIRTIES MAŽINIMO PROGRAM</w:t>
      </w:r>
      <w:r>
        <w:t>A</w:t>
      </w:r>
      <w:r w:rsidRPr="00C021B9">
        <w:t xml:space="preserve"> (NR. 12)</w:t>
      </w:r>
      <w:r>
        <w:t xml:space="preserve">, </w:t>
      </w:r>
      <w:r w:rsidRPr="00C021B9">
        <w:t>Vietos bendruomenių savivaldos programos įgyvendinimas</w:t>
      </w:r>
      <w:r>
        <w:t xml:space="preserve">. Ataskaitoje skelbiama, kad 2019 metais šiai programai panaudota </w:t>
      </w:r>
      <w:r w:rsidRPr="00C021B9">
        <w:t>LRVB</w:t>
      </w:r>
      <w:r>
        <w:t xml:space="preserve"> skirtų </w:t>
      </w:r>
      <w:r w:rsidRPr="00C021B9">
        <w:t>1574</w:t>
      </w:r>
      <w:r>
        <w:t>00 EUR.</w:t>
      </w:r>
    </w:p>
    <w:p w14:paraId="0CF0FC33" w14:textId="7327998E" w:rsidR="00C021B9" w:rsidRDefault="00C021B9" w:rsidP="00C021B9">
      <w:pPr>
        <w:ind w:left="360"/>
      </w:pPr>
      <w:r w:rsidRPr="007619B2">
        <w:rPr>
          <w:b/>
        </w:rPr>
        <w:t>KLAUSIMAS</w:t>
      </w:r>
      <w:r>
        <w:t xml:space="preserve">: </w:t>
      </w:r>
      <w:r>
        <w:t>informuokite kaip buvo paskirstyta ši suma. Jei teisingai atsimenu, pagal priemonę “Remti bendruomeninę veiklą savivaldybėse” Klaipėdos NVO paraiškose numatyta bendra suma buvo 109 tūkst. EUR. Kam buvo panaudotas skirtumas?</w:t>
      </w:r>
    </w:p>
    <w:p w14:paraId="513AE3C1" w14:textId="18A87DF3" w:rsidR="00C021B9" w:rsidRDefault="00C021B9" w:rsidP="00C021B9">
      <w:pPr>
        <w:pStyle w:val="ListParagraph"/>
        <w:numPr>
          <w:ilvl w:val="0"/>
          <w:numId w:val="1"/>
        </w:numPr>
        <w:ind w:left="360"/>
      </w:pPr>
      <w:r w:rsidRPr="00C021B9">
        <w:t>VALDYMO PROGRAMOS (NR. 03)</w:t>
      </w:r>
      <w:r w:rsidR="00B252A3">
        <w:t xml:space="preserve">, </w:t>
      </w:r>
      <w:r w:rsidRPr="00C021B9">
        <w:t>Kompiuterinės, programinės įrangos, organizacinės technikos bei licencijų įsigijimas, eksploatavimas</w:t>
      </w:r>
      <w:r w:rsidR="00B252A3">
        <w:t>:</w:t>
      </w:r>
    </w:p>
    <w:p w14:paraId="12F4864E" w14:textId="19E61518" w:rsidR="00B252A3" w:rsidRDefault="00B252A3" w:rsidP="00B252A3">
      <w:pPr>
        <w:ind w:left="360"/>
      </w:pPr>
      <w:r w:rsidRPr="00457295">
        <w:rPr>
          <w:b/>
        </w:rPr>
        <w:t>PRAŠYMAS</w:t>
      </w:r>
      <w:r w:rsidRPr="007619B2">
        <w:t>:</w:t>
      </w:r>
      <w:r>
        <w:t xml:space="preserve"> pateikite susipažinimui sutartį su paslaugos 2020 metais teikėju.</w:t>
      </w:r>
    </w:p>
    <w:p w14:paraId="2AC3E926" w14:textId="2E4093DE" w:rsidR="00B252A3" w:rsidRDefault="00B252A3" w:rsidP="00B252A3">
      <w:pPr>
        <w:ind w:left="360"/>
      </w:pPr>
      <w:r w:rsidRPr="007619B2">
        <w:rPr>
          <w:b/>
        </w:rPr>
        <w:t>KLAUSIMAS</w:t>
      </w:r>
      <w:r>
        <w:t xml:space="preserve">: </w:t>
      </w:r>
      <w:r>
        <w:t>Kas yra ir kaip bus panaudota priemonė: “</w:t>
      </w:r>
      <w:r w:rsidRPr="00B252A3">
        <w:t xml:space="preserve">Įsigyta personalo valdymo informacinė sistema, </w:t>
      </w:r>
      <w:r>
        <w:t xml:space="preserve">51 </w:t>
      </w:r>
      <w:r w:rsidRPr="00B252A3">
        <w:t>vnt.</w:t>
      </w:r>
    </w:p>
    <w:p w14:paraId="7E7584F6" w14:textId="7503EFA2" w:rsidR="00B252A3" w:rsidRDefault="00B252A3" w:rsidP="00B252A3">
      <w:pPr>
        <w:ind w:left="360"/>
      </w:pPr>
    </w:p>
    <w:p w14:paraId="330D1842" w14:textId="77777777" w:rsidR="00B252A3" w:rsidRDefault="00B252A3" w:rsidP="00B252A3">
      <w:pPr>
        <w:ind w:left="360"/>
      </w:pPr>
    </w:p>
    <w:p w14:paraId="68FDBFDB" w14:textId="0B486C07" w:rsidR="00B252A3" w:rsidRDefault="00B252A3" w:rsidP="00B252A3">
      <w:pPr>
        <w:ind w:left="360"/>
        <w:rPr>
          <w:lang w:val="lt-LT"/>
        </w:rPr>
      </w:pPr>
      <w:r>
        <w:t>A</w:t>
      </w:r>
      <w:r>
        <w:rPr>
          <w:lang w:val="lt-LT"/>
        </w:rPr>
        <w:t>čiū už pateiktus atsakymus į klausimus, prašymus ir laiką, skirtą susipažinimui su pasiūlymais.</w:t>
      </w:r>
    </w:p>
    <w:p w14:paraId="74650D66" w14:textId="63BFFF7C" w:rsidR="00B252A3" w:rsidRDefault="00B252A3" w:rsidP="00B252A3">
      <w:pPr>
        <w:ind w:left="360"/>
        <w:rPr>
          <w:lang w:val="lt-LT"/>
        </w:rPr>
      </w:pPr>
    </w:p>
    <w:p w14:paraId="57B91495" w14:textId="5976190C" w:rsidR="00B252A3" w:rsidRPr="00B252A3" w:rsidRDefault="00B252A3" w:rsidP="00B252A3">
      <w:pPr>
        <w:ind w:left="360"/>
        <w:rPr>
          <w:lang w:val="lt-LT"/>
        </w:rPr>
      </w:pPr>
      <w:r>
        <w:rPr>
          <w:lang w:val="lt-LT"/>
        </w:rPr>
        <w:t>Renaldas Kulikauskas</w:t>
      </w:r>
    </w:p>
    <w:sectPr w:rsidR="00B252A3" w:rsidRPr="00B252A3" w:rsidSect="008F181F">
      <w:pgSz w:w="11900" w:h="16840"/>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mp;quot">
    <w:altName w:val="Times New Roman"/>
    <w:panose1 w:val="020B0604020202020204"/>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05D50"/>
    <w:multiLevelType w:val="hybridMultilevel"/>
    <w:tmpl w:val="B67E9CA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14E"/>
    <w:rsid w:val="00146216"/>
    <w:rsid w:val="0017264C"/>
    <w:rsid w:val="00190F56"/>
    <w:rsid w:val="002A638D"/>
    <w:rsid w:val="00354541"/>
    <w:rsid w:val="00457295"/>
    <w:rsid w:val="004B5C02"/>
    <w:rsid w:val="004D6857"/>
    <w:rsid w:val="004E09A6"/>
    <w:rsid w:val="004E3088"/>
    <w:rsid w:val="0053576A"/>
    <w:rsid w:val="005D744C"/>
    <w:rsid w:val="006135D7"/>
    <w:rsid w:val="007619B2"/>
    <w:rsid w:val="00833B2E"/>
    <w:rsid w:val="008D56EF"/>
    <w:rsid w:val="008F181F"/>
    <w:rsid w:val="009A681A"/>
    <w:rsid w:val="00A2314E"/>
    <w:rsid w:val="00A771A0"/>
    <w:rsid w:val="00A96511"/>
    <w:rsid w:val="00B252A3"/>
    <w:rsid w:val="00B441DB"/>
    <w:rsid w:val="00B506F6"/>
    <w:rsid w:val="00B95A2A"/>
    <w:rsid w:val="00BB6473"/>
    <w:rsid w:val="00BD10B2"/>
    <w:rsid w:val="00C021B9"/>
    <w:rsid w:val="00CA330B"/>
    <w:rsid w:val="00CD38CA"/>
    <w:rsid w:val="00DD237B"/>
    <w:rsid w:val="00E478FF"/>
    <w:rsid w:val="00ED2E37"/>
    <w:rsid w:val="00EF6B72"/>
    <w:rsid w:val="00F25261"/>
    <w:rsid w:val="00F66ED4"/>
    <w:rsid w:val="00FD4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0D19E"/>
  <w15:chartTrackingRefBased/>
  <w15:docId w15:val="{204B9733-FB4B-6A4F-A0E2-87600EC2A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B3F"/>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14E"/>
    <w:pPr>
      <w:ind w:left="720"/>
      <w:contextualSpacing/>
    </w:pPr>
  </w:style>
  <w:style w:type="table" w:styleId="TableGrid">
    <w:name w:val="Table Grid"/>
    <w:basedOn w:val="TableNormal"/>
    <w:uiPriority w:val="39"/>
    <w:rsid w:val="00BB6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32284">
      <w:bodyDiv w:val="1"/>
      <w:marLeft w:val="0"/>
      <w:marRight w:val="0"/>
      <w:marTop w:val="0"/>
      <w:marBottom w:val="0"/>
      <w:divBdr>
        <w:top w:val="none" w:sz="0" w:space="0" w:color="auto"/>
        <w:left w:val="none" w:sz="0" w:space="0" w:color="auto"/>
        <w:bottom w:val="none" w:sz="0" w:space="0" w:color="auto"/>
        <w:right w:val="none" w:sz="0" w:space="0" w:color="auto"/>
      </w:divBdr>
    </w:div>
    <w:div w:id="165943829">
      <w:bodyDiv w:val="1"/>
      <w:marLeft w:val="0"/>
      <w:marRight w:val="0"/>
      <w:marTop w:val="0"/>
      <w:marBottom w:val="0"/>
      <w:divBdr>
        <w:top w:val="none" w:sz="0" w:space="0" w:color="auto"/>
        <w:left w:val="none" w:sz="0" w:space="0" w:color="auto"/>
        <w:bottom w:val="none" w:sz="0" w:space="0" w:color="auto"/>
        <w:right w:val="none" w:sz="0" w:space="0" w:color="auto"/>
      </w:divBdr>
    </w:div>
    <w:div w:id="233777736">
      <w:bodyDiv w:val="1"/>
      <w:marLeft w:val="0"/>
      <w:marRight w:val="0"/>
      <w:marTop w:val="0"/>
      <w:marBottom w:val="0"/>
      <w:divBdr>
        <w:top w:val="none" w:sz="0" w:space="0" w:color="auto"/>
        <w:left w:val="none" w:sz="0" w:space="0" w:color="auto"/>
        <w:bottom w:val="none" w:sz="0" w:space="0" w:color="auto"/>
        <w:right w:val="none" w:sz="0" w:space="0" w:color="auto"/>
      </w:divBdr>
    </w:div>
    <w:div w:id="259532087">
      <w:bodyDiv w:val="1"/>
      <w:marLeft w:val="0"/>
      <w:marRight w:val="0"/>
      <w:marTop w:val="0"/>
      <w:marBottom w:val="0"/>
      <w:divBdr>
        <w:top w:val="none" w:sz="0" w:space="0" w:color="auto"/>
        <w:left w:val="none" w:sz="0" w:space="0" w:color="auto"/>
        <w:bottom w:val="none" w:sz="0" w:space="0" w:color="auto"/>
        <w:right w:val="none" w:sz="0" w:space="0" w:color="auto"/>
      </w:divBdr>
    </w:div>
    <w:div w:id="353192891">
      <w:bodyDiv w:val="1"/>
      <w:marLeft w:val="0"/>
      <w:marRight w:val="0"/>
      <w:marTop w:val="0"/>
      <w:marBottom w:val="0"/>
      <w:divBdr>
        <w:top w:val="none" w:sz="0" w:space="0" w:color="auto"/>
        <w:left w:val="none" w:sz="0" w:space="0" w:color="auto"/>
        <w:bottom w:val="none" w:sz="0" w:space="0" w:color="auto"/>
        <w:right w:val="none" w:sz="0" w:space="0" w:color="auto"/>
      </w:divBdr>
    </w:div>
    <w:div w:id="367073667">
      <w:bodyDiv w:val="1"/>
      <w:marLeft w:val="0"/>
      <w:marRight w:val="0"/>
      <w:marTop w:val="0"/>
      <w:marBottom w:val="0"/>
      <w:divBdr>
        <w:top w:val="none" w:sz="0" w:space="0" w:color="auto"/>
        <w:left w:val="none" w:sz="0" w:space="0" w:color="auto"/>
        <w:bottom w:val="none" w:sz="0" w:space="0" w:color="auto"/>
        <w:right w:val="none" w:sz="0" w:space="0" w:color="auto"/>
      </w:divBdr>
    </w:div>
    <w:div w:id="386533843">
      <w:bodyDiv w:val="1"/>
      <w:marLeft w:val="0"/>
      <w:marRight w:val="0"/>
      <w:marTop w:val="0"/>
      <w:marBottom w:val="0"/>
      <w:divBdr>
        <w:top w:val="none" w:sz="0" w:space="0" w:color="auto"/>
        <w:left w:val="none" w:sz="0" w:space="0" w:color="auto"/>
        <w:bottom w:val="none" w:sz="0" w:space="0" w:color="auto"/>
        <w:right w:val="none" w:sz="0" w:space="0" w:color="auto"/>
      </w:divBdr>
    </w:div>
    <w:div w:id="640765932">
      <w:bodyDiv w:val="1"/>
      <w:marLeft w:val="0"/>
      <w:marRight w:val="0"/>
      <w:marTop w:val="0"/>
      <w:marBottom w:val="0"/>
      <w:divBdr>
        <w:top w:val="none" w:sz="0" w:space="0" w:color="auto"/>
        <w:left w:val="none" w:sz="0" w:space="0" w:color="auto"/>
        <w:bottom w:val="none" w:sz="0" w:space="0" w:color="auto"/>
        <w:right w:val="none" w:sz="0" w:space="0" w:color="auto"/>
      </w:divBdr>
    </w:div>
    <w:div w:id="729694460">
      <w:bodyDiv w:val="1"/>
      <w:marLeft w:val="0"/>
      <w:marRight w:val="0"/>
      <w:marTop w:val="0"/>
      <w:marBottom w:val="0"/>
      <w:divBdr>
        <w:top w:val="none" w:sz="0" w:space="0" w:color="auto"/>
        <w:left w:val="none" w:sz="0" w:space="0" w:color="auto"/>
        <w:bottom w:val="none" w:sz="0" w:space="0" w:color="auto"/>
        <w:right w:val="none" w:sz="0" w:space="0" w:color="auto"/>
      </w:divBdr>
    </w:div>
    <w:div w:id="772165152">
      <w:bodyDiv w:val="1"/>
      <w:marLeft w:val="0"/>
      <w:marRight w:val="0"/>
      <w:marTop w:val="0"/>
      <w:marBottom w:val="0"/>
      <w:divBdr>
        <w:top w:val="none" w:sz="0" w:space="0" w:color="auto"/>
        <w:left w:val="none" w:sz="0" w:space="0" w:color="auto"/>
        <w:bottom w:val="none" w:sz="0" w:space="0" w:color="auto"/>
        <w:right w:val="none" w:sz="0" w:space="0" w:color="auto"/>
      </w:divBdr>
    </w:div>
    <w:div w:id="879322193">
      <w:bodyDiv w:val="1"/>
      <w:marLeft w:val="0"/>
      <w:marRight w:val="0"/>
      <w:marTop w:val="0"/>
      <w:marBottom w:val="0"/>
      <w:divBdr>
        <w:top w:val="none" w:sz="0" w:space="0" w:color="auto"/>
        <w:left w:val="none" w:sz="0" w:space="0" w:color="auto"/>
        <w:bottom w:val="none" w:sz="0" w:space="0" w:color="auto"/>
        <w:right w:val="none" w:sz="0" w:space="0" w:color="auto"/>
      </w:divBdr>
    </w:div>
    <w:div w:id="1208645887">
      <w:bodyDiv w:val="1"/>
      <w:marLeft w:val="0"/>
      <w:marRight w:val="0"/>
      <w:marTop w:val="0"/>
      <w:marBottom w:val="0"/>
      <w:divBdr>
        <w:top w:val="none" w:sz="0" w:space="0" w:color="auto"/>
        <w:left w:val="none" w:sz="0" w:space="0" w:color="auto"/>
        <w:bottom w:val="none" w:sz="0" w:space="0" w:color="auto"/>
        <w:right w:val="none" w:sz="0" w:space="0" w:color="auto"/>
      </w:divBdr>
    </w:div>
    <w:div w:id="1268656584">
      <w:bodyDiv w:val="1"/>
      <w:marLeft w:val="0"/>
      <w:marRight w:val="0"/>
      <w:marTop w:val="0"/>
      <w:marBottom w:val="0"/>
      <w:divBdr>
        <w:top w:val="none" w:sz="0" w:space="0" w:color="auto"/>
        <w:left w:val="none" w:sz="0" w:space="0" w:color="auto"/>
        <w:bottom w:val="none" w:sz="0" w:space="0" w:color="auto"/>
        <w:right w:val="none" w:sz="0" w:space="0" w:color="auto"/>
      </w:divBdr>
    </w:div>
    <w:div w:id="1461192373">
      <w:bodyDiv w:val="1"/>
      <w:marLeft w:val="0"/>
      <w:marRight w:val="0"/>
      <w:marTop w:val="0"/>
      <w:marBottom w:val="0"/>
      <w:divBdr>
        <w:top w:val="none" w:sz="0" w:space="0" w:color="auto"/>
        <w:left w:val="none" w:sz="0" w:space="0" w:color="auto"/>
        <w:bottom w:val="none" w:sz="0" w:space="0" w:color="auto"/>
        <w:right w:val="none" w:sz="0" w:space="0" w:color="auto"/>
      </w:divBdr>
    </w:div>
    <w:div w:id="1629819944">
      <w:bodyDiv w:val="1"/>
      <w:marLeft w:val="0"/>
      <w:marRight w:val="0"/>
      <w:marTop w:val="0"/>
      <w:marBottom w:val="0"/>
      <w:divBdr>
        <w:top w:val="none" w:sz="0" w:space="0" w:color="auto"/>
        <w:left w:val="none" w:sz="0" w:space="0" w:color="auto"/>
        <w:bottom w:val="none" w:sz="0" w:space="0" w:color="auto"/>
        <w:right w:val="none" w:sz="0" w:space="0" w:color="auto"/>
      </w:divBdr>
    </w:div>
    <w:div w:id="1719166979">
      <w:bodyDiv w:val="1"/>
      <w:marLeft w:val="0"/>
      <w:marRight w:val="0"/>
      <w:marTop w:val="0"/>
      <w:marBottom w:val="0"/>
      <w:divBdr>
        <w:top w:val="none" w:sz="0" w:space="0" w:color="auto"/>
        <w:left w:val="none" w:sz="0" w:space="0" w:color="auto"/>
        <w:bottom w:val="none" w:sz="0" w:space="0" w:color="auto"/>
        <w:right w:val="none" w:sz="0" w:space="0" w:color="auto"/>
      </w:divBdr>
    </w:div>
    <w:div w:id="1721589428">
      <w:bodyDiv w:val="1"/>
      <w:marLeft w:val="0"/>
      <w:marRight w:val="0"/>
      <w:marTop w:val="0"/>
      <w:marBottom w:val="0"/>
      <w:divBdr>
        <w:top w:val="none" w:sz="0" w:space="0" w:color="auto"/>
        <w:left w:val="none" w:sz="0" w:space="0" w:color="auto"/>
        <w:bottom w:val="none" w:sz="0" w:space="0" w:color="auto"/>
        <w:right w:val="none" w:sz="0" w:space="0" w:color="auto"/>
      </w:divBdr>
    </w:div>
    <w:div w:id="1804957904">
      <w:bodyDiv w:val="1"/>
      <w:marLeft w:val="0"/>
      <w:marRight w:val="0"/>
      <w:marTop w:val="0"/>
      <w:marBottom w:val="0"/>
      <w:divBdr>
        <w:top w:val="none" w:sz="0" w:space="0" w:color="auto"/>
        <w:left w:val="none" w:sz="0" w:space="0" w:color="auto"/>
        <w:bottom w:val="none" w:sz="0" w:space="0" w:color="auto"/>
        <w:right w:val="none" w:sz="0" w:space="0" w:color="auto"/>
      </w:divBdr>
    </w:div>
    <w:div w:id="1815948626">
      <w:bodyDiv w:val="1"/>
      <w:marLeft w:val="0"/>
      <w:marRight w:val="0"/>
      <w:marTop w:val="0"/>
      <w:marBottom w:val="0"/>
      <w:divBdr>
        <w:top w:val="none" w:sz="0" w:space="0" w:color="auto"/>
        <w:left w:val="none" w:sz="0" w:space="0" w:color="auto"/>
        <w:bottom w:val="none" w:sz="0" w:space="0" w:color="auto"/>
        <w:right w:val="none" w:sz="0" w:space="0" w:color="auto"/>
      </w:divBdr>
    </w:div>
    <w:div w:id="1828016918">
      <w:bodyDiv w:val="1"/>
      <w:marLeft w:val="0"/>
      <w:marRight w:val="0"/>
      <w:marTop w:val="0"/>
      <w:marBottom w:val="0"/>
      <w:divBdr>
        <w:top w:val="none" w:sz="0" w:space="0" w:color="auto"/>
        <w:left w:val="none" w:sz="0" w:space="0" w:color="auto"/>
        <w:bottom w:val="none" w:sz="0" w:space="0" w:color="auto"/>
        <w:right w:val="none" w:sz="0" w:space="0" w:color="auto"/>
      </w:divBdr>
    </w:div>
    <w:div w:id="1866016926">
      <w:bodyDiv w:val="1"/>
      <w:marLeft w:val="0"/>
      <w:marRight w:val="0"/>
      <w:marTop w:val="0"/>
      <w:marBottom w:val="0"/>
      <w:divBdr>
        <w:top w:val="none" w:sz="0" w:space="0" w:color="auto"/>
        <w:left w:val="none" w:sz="0" w:space="0" w:color="auto"/>
        <w:bottom w:val="none" w:sz="0" w:space="0" w:color="auto"/>
        <w:right w:val="none" w:sz="0" w:space="0" w:color="auto"/>
      </w:divBdr>
    </w:div>
    <w:div w:id="1877617102">
      <w:bodyDiv w:val="1"/>
      <w:marLeft w:val="0"/>
      <w:marRight w:val="0"/>
      <w:marTop w:val="0"/>
      <w:marBottom w:val="0"/>
      <w:divBdr>
        <w:top w:val="none" w:sz="0" w:space="0" w:color="auto"/>
        <w:left w:val="none" w:sz="0" w:space="0" w:color="auto"/>
        <w:bottom w:val="none" w:sz="0" w:space="0" w:color="auto"/>
        <w:right w:val="none" w:sz="0" w:space="0" w:color="auto"/>
      </w:divBdr>
    </w:div>
    <w:div w:id="1887721061">
      <w:bodyDiv w:val="1"/>
      <w:marLeft w:val="0"/>
      <w:marRight w:val="0"/>
      <w:marTop w:val="0"/>
      <w:marBottom w:val="0"/>
      <w:divBdr>
        <w:top w:val="none" w:sz="0" w:space="0" w:color="auto"/>
        <w:left w:val="none" w:sz="0" w:space="0" w:color="auto"/>
        <w:bottom w:val="none" w:sz="0" w:space="0" w:color="auto"/>
        <w:right w:val="none" w:sz="0" w:space="0" w:color="auto"/>
      </w:divBdr>
    </w:div>
    <w:div w:id="199081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4</Pages>
  <Words>1678</Words>
  <Characters>9569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23</cp:revision>
  <dcterms:created xsi:type="dcterms:W3CDTF">2020-01-31T17:50:00Z</dcterms:created>
  <dcterms:modified xsi:type="dcterms:W3CDTF">2020-01-31T21:44:00Z</dcterms:modified>
</cp:coreProperties>
</file>