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7EEFB" w14:textId="77777777" w:rsidR="00505157" w:rsidRDefault="00505157" w:rsidP="00505157">
      <w:pPr>
        <w:jc w:val="center"/>
        <w:outlineLvl w:val="0"/>
        <w:rPr>
          <w:b/>
          <w:bCs/>
        </w:rPr>
      </w:pPr>
    </w:p>
    <w:p w14:paraId="64D7EEFC" w14:textId="77777777" w:rsidR="00505157" w:rsidRPr="00C5156F" w:rsidRDefault="00505157" w:rsidP="00505157">
      <w:pPr>
        <w:jc w:val="center"/>
        <w:outlineLvl w:val="0"/>
        <w:rPr>
          <w:b/>
          <w:bCs/>
        </w:rPr>
      </w:pPr>
      <w:r w:rsidRPr="00C5156F">
        <w:rPr>
          <w:b/>
          <w:bCs/>
        </w:rPr>
        <w:t>PATEIKTŲ PASIŪLYMŲ ĮGYVENDINIMAS</w:t>
      </w:r>
      <w:r w:rsidRPr="00C5156F">
        <w:rPr>
          <w:rStyle w:val="Puslapioinaosnuoroda"/>
          <w:b/>
          <w:bCs/>
        </w:rPr>
        <w:footnoteReference w:id="1"/>
      </w:r>
    </w:p>
    <w:p w14:paraId="64D7EEFD" w14:textId="77777777" w:rsidR="00505157" w:rsidRPr="00C5156F" w:rsidRDefault="00505157" w:rsidP="00505157">
      <w:pPr>
        <w:jc w:val="center"/>
        <w:rPr>
          <w:b/>
          <w:bCs/>
        </w:rPr>
      </w:pPr>
    </w:p>
    <w:p w14:paraId="64D7EEFE" w14:textId="77777777" w:rsidR="00505157" w:rsidRDefault="00505157" w:rsidP="00505157"/>
    <w:tbl>
      <w:tblPr>
        <w:tblStyle w:val="Lentelstinklelis"/>
        <w:tblW w:w="0" w:type="auto"/>
        <w:tblLook w:val="04A0" w:firstRow="1" w:lastRow="0" w:firstColumn="1" w:lastColumn="0" w:noHBand="0" w:noVBand="1"/>
      </w:tblPr>
      <w:tblGrid>
        <w:gridCol w:w="3184"/>
        <w:gridCol w:w="3211"/>
        <w:gridCol w:w="5952"/>
        <w:gridCol w:w="1929"/>
      </w:tblGrid>
      <w:tr w:rsidR="00505157" w:rsidRPr="002B3452" w14:paraId="64D7EF03" w14:textId="77777777" w:rsidTr="00B6666F">
        <w:tc>
          <w:tcPr>
            <w:tcW w:w="3184" w:type="dxa"/>
          </w:tcPr>
          <w:p w14:paraId="64D7EEFF" w14:textId="77777777" w:rsidR="00505157" w:rsidRPr="008F1D8D" w:rsidRDefault="00505157" w:rsidP="00A729EF">
            <w:pPr>
              <w:widowControl w:val="0"/>
              <w:jc w:val="center"/>
              <w:rPr>
                <w:i/>
                <w:snapToGrid w:val="0"/>
              </w:rPr>
            </w:pPr>
            <w:r w:rsidRPr="008F1D8D">
              <w:rPr>
                <w:i/>
                <w:snapToGrid w:val="0"/>
              </w:rPr>
              <w:t>Pateiktos pastabos</w:t>
            </w:r>
          </w:p>
        </w:tc>
        <w:tc>
          <w:tcPr>
            <w:tcW w:w="3211" w:type="dxa"/>
          </w:tcPr>
          <w:p w14:paraId="64D7EF00" w14:textId="77777777" w:rsidR="00505157" w:rsidRPr="008F1D8D" w:rsidRDefault="00505157" w:rsidP="00A729EF">
            <w:pPr>
              <w:widowControl w:val="0"/>
              <w:jc w:val="center"/>
              <w:rPr>
                <w:i/>
                <w:snapToGrid w:val="0"/>
              </w:rPr>
            </w:pPr>
            <w:r w:rsidRPr="008F1D8D">
              <w:rPr>
                <w:i/>
                <w:snapToGrid w:val="0"/>
              </w:rPr>
              <w:t>Pasiūlymai atsižvelgiant į pateiktas pastabas</w:t>
            </w:r>
          </w:p>
        </w:tc>
        <w:tc>
          <w:tcPr>
            <w:tcW w:w="5952" w:type="dxa"/>
          </w:tcPr>
          <w:p w14:paraId="64D7EF01" w14:textId="77777777" w:rsidR="00505157" w:rsidRPr="008F1D8D" w:rsidRDefault="00505157" w:rsidP="00A729EF">
            <w:pPr>
              <w:widowControl w:val="0"/>
              <w:jc w:val="center"/>
              <w:rPr>
                <w:i/>
                <w:snapToGrid w:val="0"/>
              </w:rPr>
            </w:pPr>
            <w:r w:rsidRPr="008F1D8D">
              <w:rPr>
                <w:i/>
                <w:snapToGrid w:val="0"/>
              </w:rPr>
              <w:t>Duomenys apie pastabų ir pasiūlymų įgyvendinimą</w:t>
            </w:r>
          </w:p>
        </w:tc>
        <w:tc>
          <w:tcPr>
            <w:tcW w:w="1929" w:type="dxa"/>
          </w:tcPr>
          <w:p w14:paraId="64D7EF02" w14:textId="77777777" w:rsidR="00505157" w:rsidRPr="008F1D8D" w:rsidRDefault="00505157" w:rsidP="00A729EF">
            <w:pPr>
              <w:widowControl w:val="0"/>
              <w:jc w:val="center"/>
              <w:rPr>
                <w:i/>
                <w:snapToGrid w:val="0"/>
              </w:rPr>
            </w:pPr>
            <w:r w:rsidRPr="008F1D8D">
              <w:rPr>
                <w:i/>
                <w:snapToGrid w:val="0"/>
              </w:rPr>
              <w:t>Specialiųjų tyrimų tarnybos vertinimas</w:t>
            </w:r>
          </w:p>
        </w:tc>
      </w:tr>
      <w:tr w:rsidR="00505157" w:rsidRPr="002B3452" w14:paraId="64D7EF05" w14:textId="77777777" w:rsidTr="00B6666F">
        <w:tc>
          <w:tcPr>
            <w:tcW w:w="14276" w:type="dxa"/>
            <w:gridSpan w:val="4"/>
          </w:tcPr>
          <w:p w14:paraId="64D7EF04" w14:textId="77777777" w:rsidR="00505157" w:rsidRPr="008F1D8D" w:rsidRDefault="00505157" w:rsidP="00A729EF">
            <w:pPr>
              <w:pStyle w:val="Sraopastraipa"/>
              <w:widowControl w:val="0"/>
              <w:numPr>
                <w:ilvl w:val="0"/>
                <w:numId w:val="1"/>
              </w:numPr>
              <w:jc w:val="center"/>
              <w:rPr>
                <w:i/>
                <w:snapToGrid w:val="0"/>
              </w:rPr>
            </w:pPr>
            <w:r w:rsidRPr="008F1D8D">
              <w:rPr>
                <w:i/>
                <w:snapToGrid w:val="0"/>
              </w:rPr>
              <w:t>Kritinės antikorupcinės pastabos</w:t>
            </w:r>
          </w:p>
        </w:tc>
      </w:tr>
      <w:tr w:rsidR="00C358F7" w:rsidRPr="002B3452" w14:paraId="64D7EF0A" w14:textId="77777777" w:rsidTr="00B6666F">
        <w:tc>
          <w:tcPr>
            <w:tcW w:w="3184" w:type="dxa"/>
            <w:vMerge w:val="restart"/>
          </w:tcPr>
          <w:p w14:paraId="64D7EF06" w14:textId="125B9848" w:rsidR="00C358F7" w:rsidRPr="002B3452" w:rsidRDefault="00C358F7" w:rsidP="0039317E">
            <w:pPr>
              <w:widowControl w:val="0"/>
              <w:jc w:val="both"/>
              <w:rPr>
                <w:snapToGrid w:val="0"/>
              </w:rPr>
            </w:pPr>
            <w:r w:rsidRPr="006A2F13">
              <w:t>Savivaldybių teisiniame reglamentavime nėra nustatytų aiškių tarnybinio būsto nuomos kriterijų, o tai sukelia aiškias korupcijos rizikas, kadangi sukuria galimybes savivaldybių atstovų piktnaudžiavimui, kyšininkavimui ir kitokiems neteisėtiems susitarimams nuomojant tarnybinį būstą (motyvai išdėstyti 4.1 poskyryje).</w:t>
            </w:r>
          </w:p>
        </w:tc>
        <w:tc>
          <w:tcPr>
            <w:tcW w:w="3211" w:type="dxa"/>
          </w:tcPr>
          <w:p w14:paraId="64D7EF07" w14:textId="17AE5E20" w:rsidR="00C358F7" w:rsidRPr="0039317E" w:rsidRDefault="00C358F7" w:rsidP="0039317E">
            <w:pPr>
              <w:widowControl w:val="0"/>
              <w:jc w:val="both"/>
              <w:rPr>
                <w:snapToGrid w:val="0"/>
              </w:rPr>
            </w:pPr>
            <w:r w:rsidRPr="0039317E">
              <w:t>Reglamentuoti tarnybinių būstų nuomos tvarką ir nustatyti, kaip savivaldybės gyvenamosios patalpos priskiriamos ir nuomojamos tarnybinio būsto sąlygomis.</w:t>
            </w:r>
          </w:p>
        </w:tc>
        <w:tc>
          <w:tcPr>
            <w:tcW w:w="5952" w:type="dxa"/>
          </w:tcPr>
          <w:p w14:paraId="6FE3A312" w14:textId="3F30BE8F" w:rsidR="00422055" w:rsidRDefault="00422055" w:rsidP="00422055">
            <w:pPr>
              <w:spacing w:line="252" w:lineRule="auto"/>
              <w:jc w:val="both"/>
            </w:pPr>
            <w:r>
              <w:t>Klaipėdos miesto savivaldybė nuomodama tarnybinius būstus vadovaujasi Savivaldybės būsto ir socialinio būsto nuomos tvarkos aprašu, patvirtintu Klaipėdos miesto savivaldybės tarybos 2020 m. spalio 29 d. sprendimu Nr. T2-240 „Dėl Savivaldybės būsto ir socialinio būsto nuomos tvarkos aprašo patvirtinimo</w:t>
            </w:r>
            <w:r w:rsidR="00DF309A">
              <w:t>“ (Tvarkos aprašo 6.3 ir 13 p.).</w:t>
            </w:r>
          </w:p>
          <w:p w14:paraId="64D7EF08" w14:textId="77777777" w:rsidR="00C358F7" w:rsidRPr="002B3452" w:rsidRDefault="00C358F7" w:rsidP="00422055">
            <w:pPr>
              <w:spacing w:line="252" w:lineRule="auto"/>
              <w:ind w:firstLine="720"/>
              <w:jc w:val="both"/>
              <w:rPr>
                <w:snapToGrid w:val="0"/>
              </w:rPr>
            </w:pPr>
          </w:p>
        </w:tc>
        <w:tc>
          <w:tcPr>
            <w:tcW w:w="1929" w:type="dxa"/>
          </w:tcPr>
          <w:p w14:paraId="64D7EF09" w14:textId="77777777" w:rsidR="00C358F7" w:rsidRPr="002B3452" w:rsidRDefault="00C358F7" w:rsidP="00A729EF">
            <w:pPr>
              <w:widowControl w:val="0"/>
              <w:rPr>
                <w:snapToGrid w:val="0"/>
              </w:rPr>
            </w:pPr>
          </w:p>
        </w:tc>
      </w:tr>
      <w:tr w:rsidR="00C358F7" w:rsidRPr="002B3452" w14:paraId="64D7EF0F" w14:textId="77777777" w:rsidTr="00B6666F">
        <w:tc>
          <w:tcPr>
            <w:tcW w:w="3184" w:type="dxa"/>
            <w:vMerge/>
          </w:tcPr>
          <w:p w14:paraId="64D7EF0B" w14:textId="77777777" w:rsidR="00C358F7" w:rsidRPr="002B3452" w:rsidRDefault="00C358F7" w:rsidP="00A729EF">
            <w:pPr>
              <w:widowControl w:val="0"/>
              <w:rPr>
                <w:snapToGrid w:val="0"/>
              </w:rPr>
            </w:pPr>
          </w:p>
        </w:tc>
        <w:tc>
          <w:tcPr>
            <w:tcW w:w="3211" w:type="dxa"/>
          </w:tcPr>
          <w:p w14:paraId="64D7EF0C" w14:textId="272E1C3C" w:rsidR="00C358F7" w:rsidRPr="0039317E" w:rsidRDefault="00C358F7" w:rsidP="0039317E">
            <w:pPr>
              <w:widowControl w:val="0"/>
              <w:jc w:val="both"/>
              <w:rPr>
                <w:snapToGrid w:val="0"/>
              </w:rPr>
            </w:pPr>
            <w:r w:rsidRPr="0039317E">
              <w:t>Nustatyti tarnybinio būsto nuomos kriterijus, kuriems esant asmenims gali būti suteikiamas tarnybinis būstas.</w:t>
            </w:r>
          </w:p>
        </w:tc>
        <w:tc>
          <w:tcPr>
            <w:tcW w:w="5952" w:type="dxa"/>
          </w:tcPr>
          <w:p w14:paraId="155C2584" w14:textId="372CC4C3" w:rsidR="00422055" w:rsidRDefault="00422055" w:rsidP="00422055">
            <w:pPr>
              <w:spacing w:line="252" w:lineRule="auto"/>
              <w:ind w:firstLine="720"/>
              <w:jc w:val="both"/>
            </w:pPr>
            <w:r>
              <w:t>6.3. Savivaldybės tarybos sprendimu asmenims ir šeimoms, kurie su Savivaldybe ar jos įstaigomis yra susiję darbo santykiais ar jų esmę atitinkančiais santykiais, apgyvendinti (toliau – tarnybiniai butai);</w:t>
            </w:r>
          </w:p>
          <w:p w14:paraId="29AC664A" w14:textId="036A055B" w:rsidR="00422055" w:rsidRDefault="00422055" w:rsidP="00422055">
            <w:pPr>
              <w:spacing w:line="252" w:lineRule="auto"/>
              <w:ind w:firstLine="720"/>
              <w:jc w:val="both"/>
            </w:pPr>
            <w:r>
              <w:t>13. Tvarkos aprašo 6.3 papunktyje nurodytos apgyvendintos tarnybinės gyvenamosios patalpos asmenims ir šeimoms nuomojamos darbo (tarnybos) laikotarpiui.</w:t>
            </w:r>
            <w:r>
              <w:rPr>
                <w:b/>
                <w:bCs/>
              </w:rPr>
              <w:t xml:space="preserve"> </w:t>
            </w:r>
            <w:r>
              <w:t>Darbo (tarnybos) santykiams nutrūkus, nuomojamas būstas grąžinamas Savivaldybei, išskyrus atvejus, nurodytus Civilinio kodekso 6.621 straipsnyje. Savivaldybės būstus prie tarnybinių gyvenamųjų patalpų priskiria (išbraukia) ir darbuotojų (tarnautojų), kuriems gali būti suteiktos tarnybinės gyvenamosios patalpos, kategorijas sprendimais tvirtina Savivaldybės taryba.</w:t>
            </w:r>
          </w:p>
          <w:p w14:paraId="64D7EF0D" w14:textId="77777777" w:rsidR="00C358F7" w:rsidRPr="002B3452" w:rsidRDefault="00C358F7" w:rsidP="00A729EF">
            <w:pPr>
              <w:widowControl w:val="0"/>
              <w:rPr>
                <w:snapToGrid w:val="0"/>
              </w:rPr>
            </w:pPr>
          </w:p>
        </w:tc>
        <w:tc>
          <w:tcPr>
            <w:tcW w:w="1929" w:type="dxa"/>
          </w:tcPr>
          <w:p w14:paraId="64D7EF0E" w14:textId="77777777" w:rsidR="00C358F7" w:rsidRPr="002B3452" w:rsidRDefault="00C358F7" w:rsidP="00A729EF">
            <w:pPr>
              <w:widowControl w:val="0"/>
              <w:rPr>
                <w:snapToGrid w:val="0"/>
              </w:rPr>
            </w:pPr>
          </w:p>
        </w:tc>
      </w:tr>
      <w:tr w:rsidR="00505157" w:rsidRPr="002B3452" w14:paraId="64D7EF16" w14:textId="77777777" w:rsidTr="00B6666F">
        <w:tc>
          <w:tcPr>
            <w:tcW w:w="14276" w:type="dxa"/>
            <w:gridSpan w:val="4"/>
          </w:tcPr>
          <w:p w14:paraId="64D7EF15" w14:textId="77777777" w:rsidR="00505157" w:rsidRPr="008F1D8D" w:rsidRDefault="00505157" w:rsidP="00A729EF">
            <w:pPr>
              <w:pStyle w:val="Sraopastraipa"/>
              <w:widowControl w:val="0"/>
              <w:numPr>
                <w:ilvl w:val="0"/>
                <w:numId w:val="1"/>
              </w:numPr>
              <w:jc w:val="center"/>
              <w:rPr>
                <w:i/>
                <w:snapToGrid w:val="0"/>
              </w:rPr>
            </w:pPr>
            <w:r w:rsidRPr="008F1D8D">
              <w:rPr>
                <w:i/>
                <w:snapToGrid w:val="0"/>
              </w:rPr>
              <w:t>Kitos antikorupcinės pastabos</w:t>
            </w:r>
          </w:p>
        </w:tc>
      </w:tr>
      <w:tr w:rsidR="000E3BE5" w:rsidRPr="002B3452" w14:paraId="64D7EF1B" w14:textId="77777777" w:rsidTr="00B6666F">
        <w:tc>
          <w:tcPr>
            <w:tcW w:w="3184" w:type="dxa"/>
            <w:vMerge w:val="restart"/>
          </w:tcPr>
          <w:p w14:paraId="64D7EF17" w14:textId="39D7CCA9" w:rsidR="000E3BE5" w:rsidRPr="002B3452" w:rsidRDefault="000E3BE5" w:rsidP="0039317E">
            <w:pPr>
              <w:widowControl w:val="0"/>
              <w:jc w:val="both"/>
              <w:rPr>
                <w:snapToGrid w:val="0"/>
              </w:rPr>
            </w:pPr>
            <w:r w:rsidRPr="006A2F13">
              <w:t xml:space="preserve">Savivaldybėse nereglamentuota savivaldybės ir socialinio būsto pirkimo komisijų sudarymo tvarka, o tai sukelia tikėtinus korupcijos rizikos atvejus, kai į komisiją </w:t>
            </w:r>
            <w:r w:rsidRPr="00AE2D15">
              <w:t xml:space="preserve">gali būti paskiriamas iš anksto numatytas asmuo, o ne kvalifikuotas savo srities specialistas </w:t>
            </w:r>
            <w:r w:rsidRPr="006A2F13">
              <w:t>(motyvai išdėstyti 2.1 poskyryje)</w:t>
            </w:r>
          </w:p>
        </w:tc>
        <w:tc>
          <w:tcPr>
            <w:tcW w:w="3211" w:type="dxa"/>
          </w:tcPr>
          <w:p w14:paraId="64D7EF18" w14:textId="4B2CA02C" w:rsidR="000E3BE5" w:rsidRPr="002B3452" w:rsidRDefault="000E3BE5" w:rsidP="00A729EF">
            <w:pPr>
              <w:widowControl w:val="0"/>
              <w:rPr>
                <w:snapToGrid w:val="0"/>
              </w:rPr>
            </w:pPr>
            <w:r w:rsidRPr="006A2F13">
              <w:t>Išsamiau reglamentuoti savivaldybės ir socialinio būsto pirkimo komisijos veikl</w:t>
            </w:r>
            <w:r>
              <w:t>os procedūras</w:t>
            </w:r>
            <w:r w:rsidRPr="006A2F13">
              <w:t xml:space="preserve"> ir nustatyti pagrindus ar atvejus, kuriais vadovaujantis keičiama</w:t>
            </w:r>
            <w:r>
              <w:t xml:space="preserve"> jos sudėtis</w:t>
            </w:r>
            <w:r w:rsidRPr="006A2F13">
              <w:t>.</w:t>
            </w:r>
          </w:p>
        </w:tc>
        <w:tc>
          <w:tcPr>
            <w:tcW w:w="5952" w:type="dxa"/>
            <w:vMerge w:val="restart"/>
          </w:tcPr>
          <w:p w14:paraId="70C40C26" w14:textId="77777777" w:rsidR="000E3BE5" w:rsidRDefault="000E3BE5" w:rsidP="00E91F7A">
            <w:pPr>
              <w:widowControl w:val="0"/>
              <w:jc w:val="both"/>
              <w:rPr>
                <w:color w:val="000000"/>
              </w:rPr>
            </w:pPr>
            <w:r>
              <w:rPr>
                <w:snapToGrid w:val="0"/>
              </w:rPr>
              <w:t xml:space="preserve">Klaipėdos administracijos direktoriaus įsakymu patvirtintas tvarkos aprašas dėl savivaldybės nuosavybės teise įsigyjamo nekilnojamojo turto procedūrų vykdymo (toliau – Tvarkos aprašas), kiek to nereglamentuoja </w:t>
            </w:r>
            <w:r>
              <w:rPr>
                <w:color w:val="000000"/>
              </w:rPr>
              <w:t>Žemės, esamų pastatų ar kitų nekilnojamųjų daiktų įsigijimo arba nuomos ar teisių į šiuos daiktus įsigijimo tvarkos aprašas, patvirtintas Lietuvos Respublikos Vyriausybės 2017-12-13 nutarimu Nr. 1036.</w:t>
            </w:r>
          </w:p>
          <w:p w14:paraId="09AC1ECD" w14:textId="77777777" w:rsidR="000E3BE5" w:rsidRDefault="000E3BE5" w:rsidP="00E91F7A">
            <w:pPr>
              <w:widowControl w:val="0"/>
              <w:jc w:val="both"/>
              <w:rPr>
                <w:color w:val="000000"/>
              </w:rPr>
            </w:pPr>
            <w:r>
              <w:rPr>
                <w:color w:val="000000"/>
              </w:rPr>
              <w:t>Tvarkos apraše būtų nustatyta pirkimo komisijos veiklos procedūros, sudėties keitimo tvarka, komisijos narių atrankos kriterijai, pirkimo ir turto apžiūros dokumentų formos.</w:t>
            </w:r>
          </w:p>
          <w:p w14:paraId="64D7EF19" w14:textId="65F14DE5" w:rsidR="000E3BE5" w:rsidRPr="002B3452" w:rsidRDefault="000E3BE5" w:rsidP="00E91F7A">
            <w:pPr>
              <w:widowControl w:val="0"/>
              <w:jc w:val="both"/>
              <w:rPr>
                <w:snapToGrid w:val="0"/>
              </w:rPr>
            </w:pPr>
            <w:r>
              <w:rPr>
                <w:color w:val="000000"/>
              </w:rPr>
              <w:t>Tvarkos aprašo tvirtinimo terminas 2022-12-31.</w:t>
            </w:r>
          </w:p>
        </w:tc>
        <w:tc>
          <w:tcPr>
            <w:tcW w:w="1929" w:type="dxa"/>
          </w:tcPr>
          <w:p w14:paraId="64D7EF1A" w14:textId="77777777" w:rsidR="000E3BE5" w:rsidRPr="002B3452" w:rsidRDefault="000E3BE5" w:rsidP="00A729EF">
            <w:pPr>
              <w:widowControl w:val="0"/>
              <w:rPr>
                <w:snapToGrid w:val="0"/>
              </w:rPr>
            </w:pPr>
          </w:p>
        </w:tc>
      </w:tr>
      <w:tr w:rsidR="000E3BE5" w:rsidRPr="002B3452" w14:paraId="64D7EF20" w14:textId="77777777" w:rsidTr="00B6666F">
        <w:tc>
          <w:tcPr>
            <w:tcW w:w="3184" w:type="dxa"/>
            <w:vMerge/>
          </w:tcPr>
          <w:p w14:paraId="64D7EF1C" w14:textId="77777777" w:rsidR="000E3BE5" w:rsidRPr="002B3452" w:rsidRDefault="000E3BE5" w:rsidP="00A729EF">
            <w:pPr>
              <w:widowControl w:val="0"/>
              <w:rPr>
                <w:snapToGrid w:val="0"/>
              </w:rPr>
            </w:pPr>
          </w:p>
        </w:tc>
        <w:tc>
          <w:tcPr>
            <w:tcW w:w="3211" w:type="dxa"/>
          </w:tcPr>
          <w:p w14:paraId="64D7EF1D" w14:textId="7CC4CA0E" w:rsidR="000E3BE5" w:rsidRPr="00520DBA" w:rsidRDefault="000E3BE5" w:rsidP="00520DBA">
            <w:pPr>
              <w:pStyle w:val="Sraopastraipa"/>
              <w:tabs>
                <w:tab w:val="left" w:pos="709"/>
                <w:tab w:val="left" w:pos="1134"/>
              </w:tabs>
              <w:ind w:left="0"/>
              <w:rPr>
                <w:szCs w:val="24"/>
              </w:rPr>
            </w:pPr>
            <w:r w:rsidRPr="006A2F13">
              <w:rPr>
                <w:szCs w:val="24"/>
              </w:rPr>
              <w:t>Nustatyti tikslų (terminai, aplinkybės) komisijos narių rotavimo mechanizmą.</w:t>
            </w:r>
          </w:p>
        </w:tc>
        <w:tc>
          <w:tcPr>
            <w:tcW w:w="5952" w:type="dxa"/>
            <w:vMerge/>
          </w:tcPr>
          <w:p w14:paraId="64D7EF1E" w14:textId="77777777" w:rsidR="000E3BE5" w:rsidRPr="002B3452" w:rsidRDefault="000E3BE5" w:rsidP="00A729EF">
            <w:pPr>
              <w:widowControl w:val="0"/>
              <w:rPr>
                <w:snapToGrid w:val="0"/>
              </w:rPr>
            </w:pPr>
          </w:p>
        </w:tc>
        <w:tc>
          <w:tcPr>
            <w:tcW w:w="1929" w:type="dxa"/>
          </w:tcPr>
          <w:p w14:paraId="64D7EF1F" w14:textId="77777777" w:rsidR="000E3BE5" w:rsidRPr="002B3452" w:rsidRDefault="000E3BE5" w:rsidP="00A729EF">
            <w:pPr>
              <w:widowControl w:val="0"/>
              <w:rPr>
                <w:snapToGrid w:val="0"/>
              </w:rPr>
            </w:pPr>
          </w:p>
        </w:tc>
      </w:tr>
      <w:tr w:rsidR="000E3BE5" w:rsidRPr="002B3452" w14:paraId="64D7EF25" w14:textId="77777777" w:rsidTr="00B6666F">
        <w:tc>
          <w:tcPr>
            <w:tcW w:w="3184" w:type="dxa"/>
            <w:vMerge/>
          </w:tcPr>
          <w:p w14:paraId="64D7EF21" w14:textId="77777777" w:rsidR="000E3BE5" w:rsidRPr="002B3452" w:rsidRDefault="000E3BE5" w:rsidP="00A729EF">
            <w:pPr>
              <w:widowControl w:val="0"/>
              <w:rPr>
                <w:snapToGrid w:val="0"/>
              </w:rPr>
            </w:pPr>
          </w:p>
        </w:tc>
        <w:tc>
          <w:tcPr>
            <w:tcW w:w="3211" w:type="dxa"/>
          </w:tcPr>
          <w:p w14:paraId="64D7EF22" w14:textId="20C60FEF" w:rsidR="000E3BE5" w:rsidRPr="002B3452" w:rsidRDefault="000E3BE5" w:rsidP="00A729EF">
            <w:pPr>
              <w:widowControl w:val="0"/>
              <w:rPr>
                <w:snapToGrid w:val="0"/>
              </w:rPr>
            </w:pPr>
            <w:r w:rsidRPr="006A2F13">
              <w:t>Reglamentuoti savivaldybės ir socialinio būsto pirkimo komisijos narių atrankos proceso kriterijus (išsilavinimas, patirtis, specialiosios žinios ar pan.), kuriuos turi atitikti į komisiją skiriamas asmuo.</w:t>
            </w:r>
          </w:p>
        </w:tc>
        <w:tc>
          <w:tcPr>
            <w:tcW w:w="5952" w:type="dxa"/>
            <w:vMerge/>
          </w:tcPr>
          <w:p w14:paraId="64D7EF23" w14:textId="77777777" w:rsidR="000E3BE5" w:rsidRPr="002B3452" w:rsidRDefault="000E3BE5" w:rsidP="00A729EF">
            <w:pPr>
              <w:widowControl w:val="0"/>
              <w:rPr>
                <w:snapToGrid w:val="0"/>
              </w:rPr>
            </w:pPr>
          </w:p>
        </w:tc>
        <w:tc>
          <w:tcPr>
            <w:tcW w:w="1929" w:type="dxa"/>
          </w:tcPr>
          <w:p w14:paraId="64D7EF24" w14:textId="77777777" w:rsidR="000E3BE5" w:rsidRPr="002B3452" w:rsidRDefault="000E3BE5" w:rsidP="00A729EF">
            <w:pPr>
              <w:widowControl w:val="0"/>
              <w:rPr>
                <w:snapToGrid w:val="0"/>
              </w:rPr>
            </w:pPr>
          </w:p>
        </w:tc>
      </w:tr>
      <w:tr w:rsidR="000E3BE5" w:rsidRPr="002B3452" w14:paraId="75987D20" w14:textId="77777777" w:rsidTr="00B6666F">
        <w:tc>
          <w:tcPr>
            <w:tcW w:w="3184" w:type="dxa"/>
            <w:vMerge/>
          </w:tcPr>
          <w:p w14:paraId="31C803B2" w14:textId="77777777" w:rsidR="000E3BE5" w:rsidRPr="002B3452" w:rsidRDefault="000E3BE5" w:rsidP="00A729EF">
            <w:pPr>
              <w:widowControl w:val="0"/>
              <w:rPr>
                <w:snapToGrid w:val="0"/>
              </w:rPr>
            </w:pPr>
          </w:p>
        </w:tc>
        <w:tc>
          <w:tcPr>
            <w:tcW w:w="3211" w:type="dxa"/>
          </w:tcPr>
          <w:p w14:paraId="61428812" w14:textId="6A266D9D" w:rsidR="000E3BE5" w:rsidRPr="00520DBA" w:rsidRDefault="000E3BE5" w:rsidP="00520DBA">
            <w:pPr>
              <w:pStyle w:val="Sraopastraipa"/>
              <w:tabs>
                <w:tab w:val="left" w:pos="142"/>
                <w:tab w:val="left" w:pos="1134"/>
              </w:tabs>
              <w:ind w:left="0"/>
              <w:rPr>
                <w:szCs w:val="24"/>
                <w:lang w:bidi="lt-LT"/>
              </w:rPr>
            </w:pPr>
            <w:r w:rsidRPr="006A2F13">
              <w:rPr>
                <w:szCs w:val="24"/>
              </w:rPr>
              <w:t>Būsto pirkimo komisijų posėdžių protokoluose išsamiau argumentuoti priimamų sprendimų dėl perkamo būsto motyvus.</w:t>
            </w:r>
          </w:p>
        </w:tc>
        <w:tc>
          <w:tcPr>
            <w:tcW w:w="5952" w:type="dxa"/>
            <w:vMerge/>
          </w:tcPr>
          <w:p w14:paraId="506B1486" w14:textId="77777777" w:rsidR="000E3BE5" w:rsidRPr="002B3452" w:rsidRDefault="000E3BE5" w:rsidP="00A729EF">
            <w:pPr>
              <w:widowControl w:val="0"/>
              <w:rPr>
                <w:snapToGrid w:val="0"/>
              </w:rPr>
            </w:pPr>
          </w:p>
        </w:tc>
        <w:tc>
          <w:tcPr>
            <w:tcW w:w="1929" w:type="dxa"/>
          </w:tcPr>
          <w:p w14:paraId="36FF276E" w14:textId="77777777" w:rsidR="000E3BE5" w:rsidRPr="002B3452" w:rsidRDefault="000E3BE5" w:rsidP="00A729EF">
            <w:pPr>
              <w:widowControl w:val="0"/>
              <w:rPr>
                <w:snapToGrid w:val="0"/>
              </w:rPr>
            </w:pPr>
          </w:p>
        </w:tc>
      </w:tr>
      <w:tr w:rsidR="004D0EDC" w:rsidRPr="002B3452" w14:paraId="47EB6620" w14:textId="77777777" w:rsidTr="00B6666F">
        <w:tc>
          <w:tcPr>
            <w:tcW w:w="3184" w:type="dxa"/>
            <w:vMerge w:val="restart"/>
          </w:tcPr>
          <w:p w14:paraId="0FE691BE" w14:textId="797EB076" w:rsidR="004D0EDC" w:rsidRPr="002B3452" w:rsidRDefault="004D0EDC" w:rsidP="0039317E">
            <w:pPr>
              <w:widowControl w:val="0"/>
              <w:jc w:val="both"/>
              <w:rPr>
                <w:snapToGrid w:val="0"/>
              </w:rPr>
            </w:pPr>
            <w:r w:rsidRPr="006A2F13">
              <w:t>Savivaldybės nepakankamai užtikrina nekilnojamojo turto nuomos sutarčių vykdymo kontrolę. Įstatymas imperatyviai nereguliuoja savivaldybėms nuosavybės teise priklausančio turto nuomos, todėl itin svarbus išsamus nuomos reglamentavimas savivaldybių tarybų tvarkose ar sudarytose paslaugų teikimo sutartyse. Savivaldybių tarybų nustatyta ir konkrečiai savivaldybei pritaikyta savivaldybės nekilnojamojo turto nuomos tvarkoje numatyti savivaldybės ir socialinių būstų kontrolės mechanizmai prisidėtų prie efektyvesnio nekilnojamojo turto valdymo savivaldybėse (motyvai išdėstyti 3.2 poskyryje).</w:t>
            </w:r>
          </w:p>
        </w:tc>
        <w:tc>
          <w:tcPr>
            <w:tcW w:w="3211" w:type="dxa"/>
          </w:tcPr>
          <w:p w14:paraId="1B71DD8C" w14:textId="2CB9AE12" w:rsidR="004D0EDC" w:rsidRPr="004D0EDC" w:rsidRDefault="004D0EDC" w:rsidP="0039317E">
            <w:pPr>
              <w:pStyle w:val="Sraopastraipa"/>
              <w:tabs>
                <w:tab w:val="left" w:pos="142"/>
                <w:tab w:val="left" w:pos="1134"/>
              </w:tabs>
              <w:ind w:left="0"/>
              <w:jc w:val="both"/>
              <w:rPr>
                <w:szCs w:val="24"/>
                <w:highlight w:val="yellow"/>
              </w:rPr>
            </w:pPr>
            <w:r w:rsidRPr="0039317E">
              <w:rPr>
                <w:szCs w:val="24"/>
              </w:rPr>
              <w:t>Reglamentuoti savivaldybių tarybų tvarkose ar sudarytose paslaugų teikimo sutartyse aiškiai apibrėžtą ir reguliarų savivaldybės ir socialinio būsto kontrolės mechanizmą (pavyzdžiui, numatyti aiškų būstų apžiūrių skaičių per ketvirtį, numatyti aiškią protokolavimo ir esant pažeidimų – jų fiksavimo tvarką, patikrinimų metu taikyti keturių akių principą ir kitas priemones).</w:t>
            </w:r>
          </w:p>
        </w:tc>
        <w:tc>
          <w:tcPr>
            <w:tcW w:w="5952" w:type="dxa"/>
          </w:tcPr>
          <w:p w14:paraId="14A1B7D3" w14:textId="4F589732" w:rsidR="00936F32" w:rsidRPr="003B42C5" w:rsidRDefault="00936F32" w:rsidP="00936F32">
            <w:pPr>
              <w:jc w:val="both"/>
            </w:pPr>
            <w:r>
              <w:t>V</w:t>
            </w:r>
            <w:r w:rsidRPr="003B42C5">
              <w:t>iešoji įstaiga „Klaipėdos butai“</w:t>
            </w:r>
            <w:r>
              <w:t xml:space="preserve"> (toliau – Įstaiga)</w:t>
            </w:r>
            <w:r w:rsidRPr="003B42C5">
              <w:t xml:space="preserve">, turto </w:t>
            </w:r>
            <w:r>
              <w:t>patikėjimo teise vykdo</w:t>
            </w:r>
            <w:r w:rsidRPr="003B42C5">
              <w:t xml:space="preserve"> Savivaldybės gyvenamųjų patalpų nuomos viešąsias paslaugas.</w:t>
            </w:r>
          </w:p>
          <w:p w14:paraId="293A7662" w14:textId="3C4CCFEC" w:rsidR="00586C62" w:rsidRPr="00936F32" w:rsidRDefault="00586C62" w:rsidP="00936F32">
            <w:pPr>
              <w:jc w:val="both"/>
            </w:pPr>
            <w:r w:rsidRPr="00936F32">
              <w:t xml:space="preserve">Artimiausioje Taryboje bus tvirtinamas Savivaldybės būsto ir socialinio būsto nuomos tvarkos aprašas. Aprašo 73 punkte </w:t>
            </w:r>
            <w:r w:rsidR="00936F32">
              <w:t xml:space="preserve">nurodyta, kad </w:t>
            </w:r>
            <w:r w:rsidRPr="00936F32">
              <w:t>Įstaiga pagal vidaus dokumentu patvirtintą tvarką tikrins išnuomoto socialinio būsto būklę, duomenis apie mokesčių už komunalines paslaugas mokėjimą, taip pat tikrins, ar būstas naudojamas pagal paskirtį, ar laikomasi kitų nuomos sutartyje nustatytų sąlygų.</w:t>
            </w:r>
          </w:p>
          <w:p w14:paraId="7A4D0E2F" w14:textId="77777777" w:rsidR="004D0EDC" w:rsidRPr="002B3452" w:rsidRDefault="004D0EDC" w:rsidP="00A729EF">
            <w:pPr>
              <w:widowControl w:val="0"/>
              <w:rPr>
                <w:snapToGrid w:val="0"/>
              </w:rPr>
            </w:pPr>
          </w:p>
        </w:tc>
        <w:tc>
          <w:tcPr>
            <w:tcW w:w="1929" w:type="dxa"/>
          </w:tcPr>
          <w:p w14:paraId="79262877" w14:textId="77777777" w:rsidR="004D0EDC" w:rsidRPr="002B3452" w:rsidRDefault="004D0EDC" w:rsidP="00A729EF">
            <w:pPr>
              <w:widowControl w:val="0"/>
              <w:rPr>
                <w:snapToGrid w:val="0"/>
              </w:rPr>
            </w:pPr>
          </w:p>
        </w:tc>
      </w:tr>
      <w:tr w:rsidR="004D0EDC" w:rsidRPr="002B3452" w14:paraId="113DA761" w14:textId="77777777" w:rsidTr="00B6666F">
        <w:tc>
          <w:tcPr>
            <w:tcW w:w="3184" w:type="dxa"/>
            <w:vMerge/>
          </w:tcPr>
          <w:p w14:paraId="5AEAD8BF" w14:textId="77777777" w:rsidR="004D0EDC" w:rsidRPr="002B3452" w:rsidRDefault="004D0EDC" w:rsidP="00A729EF">
            <w:pPr>
              <w:widowControl w:val="0"/>
              <w:rPr>
                <w:snapToGrid w:val="0"/>
              </w:rPr>
            </w:pPr>
          </w:p>
        </w:tc>
        <w:tc>
          <w:tcPr>
            <w:tcW w:w="3211" w:type="dxa"/>
          </w:tcPr>
          <w:p w14:paraId="7E8A10EB" w14:textId="054ADC07" w:rsidR="004D0EDC" w:rsidRPr="004D0EDC" w:rsidRDefault="004D0EDC" w:rsidP="0039317E">
            <w:pPr>
              <w:pStyle w:val="Sraopastraipa"/>
              <w:tabs>
                <w:tab w:val="left" w:pos="142"/>
                <w:tab w:val="left" w:pos="1134"/>
              </w:tabs>
              <w:ind w:left="0"/>
              <w:jc w:val="both"/>
              <w:rPr>
                <w:szCs w:val="24"/>
                <w:highlight w:val="yellow"/>
              </w:rPr>
            </w:pPr>
            <w:r w:rsidRPr="0039317E">
              <w:rPr>
                <w:szCs w:val="24"/>
              </w:rPr>
              <w:t>Pagal galimybes organizuoti daugiau savivaldybės ir socialinio būsto apžiūrų ir tai reglamentuoti (kurortinėse savivaldybėse didesnį apžiūrų skaičių numatyti vasaros sezono metu).</w:t>
            </w:r>
          </w:p>
        </w:tc>
        <w:tc>
          <w:tcPr>
            <w:tcW w:w="5952" w:type="dxa"/>
          </w:tcPr>
          <w:p w14:paraId="5D96662F" w14:textId="77777777" w:rsidR="00C63598" w:rsidRPr="003B42C5" w:rsidRDefault="00C63598" w:rsidP="00C63598">
            <w:pPr>
              <w:jc w:val="both"/>
            </w:pPr>
            <w:r>
              <w:t>V</w:t>
            </w:r>
            <w:r w:rsidRPr="003B42C5">
              <w:t>iešoji įstaiga „Klaipėdos butai“</w:t>
            </w:r>
            <w:r>
              <w:t xml:space="preserve"> (toliau – Įstaiga)</w:t>
            </w:r>
            <w:r w:rsidRPr="003B42C5">
              <w:t xml:space="preserve">, turto </w:t>
            </w:r>
            <w:r>
              <w:t>patikėjimo teise vykdo</w:t>
            </w:r>
            <w:r w:rsidRPr="003B42C5">
              <w:t xml:space="preserve"> Savivaldybės gyvenamųjų patalpų nuomos viešąsias paslaugas.</w:t>
            </w:r>
          </w:p>
          <w:p w14:paraId="6DDB141B" w14:textId="77777777" w:rsidR="00C63598" w:rsidRPr="00936F32" w:rsidRDefault="00C63598" w:rsidP="00C63598">
            <w:pPr>
              <w:jc w:val="both"/>
            </w:pPr>
            <w:r w:rsidRPr="00936F32">
              <w:t xml:space="preserve">Artimiausioje Taryboje bus tvirtinamas Savivaldybės būsto ir socialinio būsto nuomos tvarkos aprašas. Aprašo 73 punkte </w:t>
            </w:r>
            <w:r>
              <w:t xml:space="preserve">nurodyta, kad </w:t>
            </w:r>
            <w:r w:rsidRPr="00936F32">
              <w:t>Įstaiga pagal vidaus dokumentu patvirtintą tvarką tikrins išnuomoto socialinio būsto būklę, duomenis apie mokesčių už komunalines paslaugas mokėjimą, taip pat tikrins, ar būstas naudojamas pagal paskirtį, ar laikomasi kitų nuomos sutartyje nustatytų sąlygų.</w:t>
            </w:r>
          </w:p>
          <w:p w14:paraId="11B7F90A" w14:textId="77777777" w:rsidR="004D0EDC" w:rsidRPr="002B3452" w:rsidRDefault="004D0EDC" w:rsidP="00A729EF">
            <w:pPr>
              <w:widowControl w:val="0"/>
              <w:rPr>
                <w:snapToGrid w:val="0"/>
              </w:rPr>
            </w:pPr>
          </w:p>
        </w:tc>
        <w:tc>
          <w:tcPr>
            <w:tcW w:w="1929" w:type="dxa"/>
          </w:tcPr>
          <w:p w14:paraId="59D9BD3D" w14:textId="77777777" w:rsidR="004D0EDC" w:rsidRPr="002B3452" w:rsidRDefault="004D0EDC" w:rsidP="00A729EF">
            <w:pPr>
              <w:widowControl w:val="0"/>
              <w:rPr>
                <w:snapToGrid w:val="0"/>
              </w:rPr>
            </w:pPr>
          </w:p>
        </w:tc>
      </w:tr>
      <w:tr w:rsidR="00520DBA" w:rsidRPr="002B3452" w14:paraId="2452D802" w14:textId="77777777" w:rsidTr="00B6666F">
        <w:tc>
          <w:tcPr>
            <w:tcW w:w="3184" w:type="dxa"/>
          </w:tcPr>
          <w:p w14:paraId="333DA18E" w14:textId="77777777" w:rsidR="00520DBA" w:rsidRPr="002B3452" w:rsidRDefault="00520DBA" w:rsidP="00A729EF">
            <w:pPr>
              <w:widowControl w:val="0"/>
              <w:rPr>
                <w:snapToGrid w:val="0"/>
              </w:rPr>
            </w:pPr>
          </w:p>
        </w:tc>
        <w:tc>
          <w:tcPr>
            <w:tcW w:w="3211" w:type="dxa"/>
          </w:tcPr>
          <w:p w14:paraId="5E6B8566" w14:textId="19358372" w:rsidR="00520DBA" w:rsidRPr="006A2F13" w:rsidRDefault="00520DBA" w:rsidP="0039317E">
            <w:pPr>
              <w:pStyle w:val="Sraopastraipa"/>
              <w:tabs>
                <w:tab w:val="left" w:pos="142"/>
                <w:tab w:val="left" w:pos="1134"/>
              </w:tabs>
              <w:ind w:left="0"/>
              <w:jc w:val="both"/>
              <w:rPr>
                <w:szCs w:val="24"/>
              </w:rPr>
            </w:pPr>
            <w:r w:rsidRPr="00AE2D15">
              <w:rPr>
                <w:szCs w:val="24"/>
              </w:rPr>
              <w:t>Tarybos sprendimuose, nepažeidžiant asmens duomenų apsaugos reikalavimų, aiškiai nurodyti visą aktualią informaciją (unikalus numeris, pastato adresas), susijusią su perkamu ir (ar) parduodamu nekilnojamuoju turtu.</w:t>
            </w:r>
          </w:p>
        </w:tc>
        <w:tc>
          <w:tcPr>
            <w:tcW w:w="5952" w:type="dxa"/>
          </w:tcPr>
          <w:p w14:paraId="5DE97876" w14:textId="37A8780B" w:rsidR="00520DBA" w:rsidRPr="002B3452" w:rsidRDefault="00B6666F" w:rsidP="00A729EF">
            <w:pPr>
              <w:widowControl w:val="0"/>
              <w:rPr>
                <w:snapToGrid w:val="0"/>
              </w:rPr>
            </w:pPr>
            <w:r>
              <w:rPr>
                <w:snapToGrid w:val="0"/>
              </w:rPr>
              <w:t>Savivaldybės tarybos sprendimuose bus nurodoma visa aktuali informacija susijusi su perkamu ir (ar) parduodamu nekilnojamuoju turtu, kiek tai nepažeidžia asmens duomenų apsaugos reikalavimų.</w:t>
            </w:r>
          </w:p>
        </w:tc>
        <w:tc>
          <w:tcPr>
            <w:tcW w:w="1929" w:type="dxa"/>
          </w:tcPr>
          <w:p w14:paraId="60BF41F9" w14:textId="77777777" w:rsidR="00520DBA" w:rsidRPr="002B3452" w:rsidRDefault="00520DBA" w:rsidP="00A729EF">
            <w:pPr>
              <w:widowControl w:val="0"/>
              <w:rPr>
                <w:snapToGrid w:val="0"/>
              </w:rPr>
            </w:pPr>
          </w:p>
        </w:tc>
      </w:tr>
      <w:tr w:rsidR="004D0EDC" w:rsidRPr="002B3452" w14:paraId="5C05C68A" w14:textId="77777777" w:rsidTr="00B6666F">
        <w:tc>
          <w:tcPr>
            <w:tcW w:w="3184" w:type="dxa"/>
            <w:vMerge w:val="restart"/>
          </w:tcPr>
          <w:p w14:paraId="784971F2" w14:textId="58E7574D" w:rsidR="004D0EDC" w:rsidRPr="002B3452" w:rsidRDefault="004D0EDC" w:rsidP="0039317E">
            <w:pPr>
              <w:widowControl w:val="0"/>
              <w:jc w:val="both"/>
              <w:rPr>
                <w:snapToGrid w:val="0"/>
              </w:rPr>
            </w:pPr>
            <w:r w:rsidRPr="006A2F13">
              <w:t>Savivaldybėse retai atnaujinamas Asmenų ir šeimų, turinčių teisę į socialinio būsto nuomą, sąrašas, o tai sudaro tikimybę, jog asmenų turto ir pajamų deklaracijos tikrinimo metu jau gali nebeatitikti teisės aktuose nustatytų dydžių arba gali būti suteikiamas asmeniui, kuris turi nekilnojamojo turto. Manytina, jog reguliarius bei nuolatinis šeimų ir asmenų, turinčių teisę į socialinio būsto nuomą, sąrašų atnaujinimas sudarytų sąlygas tiksliau nustatyti tikrąjį asmenų, turinčių teisę į socialinio būsto nuomą, skaičių, taip pat užtikrintų, jog socialinis būstas suteikiamas tik tiems asmenims, kurie turi teisę jį įgyti, bei padėtų savivaldybėms racionaliau ir tikslingiau planuoti ir panaudoti socialiniam būstui įsigyti skirtas lėšas (motyvai išdėstyti 3.3 poskyryje).</w:t>
            </w:r>
          </w:p>
        </w:tc>
        <w:tc>
          <w:tcPr>
            <w:tcW w:w="3211" w:type="dxa"/>
          </w:tcPr>
          <w:p w14:paraId="34A537CB" w14:textId="649E8FAC" w:rsidR="004D0EDC" w:rsidRPr="004D0EDC" w:rsidRDefault="004D0EDC" w:rsidP="0039317E">
            <w:pPr>
              <w:pStyle w:val="Sraopastraipa"/>
              <w:tabs>
                <w:tab w:val="left" w:pos="142"/>
                <w:tab w:val="left" w:pos="1134"/>
              </w:tabs>
              <w:ind w:left="0"/>
              <w:jc w:val="both"/>
              <w:rPr>
                <w:szCs w:val="24"/>
                <w:highlight w:val="yellow"/>
              </w:rPr>
            </w:pPr>
            <w:r w:rsidRPr="0039317E">
              <w:rPr>
                <w:szCs w:val="24"/>
              </w:rPr>
              <w:t>Reglamentuoti savivaldybės ir socialinio būsto nuomą ir nustatyti, kad asmenų (šeimų), turinčių teisę į socialinį būstą, sąrašai pagal galimybes yra tikslinami nuolat.</w:t>
            </w:r>
          </w:p>
        </w:tc>
        <w:tc>
          <w:tcPr>
            <w:tcW w:w="5952" w:type="dxa"/>
          </w:tcPr>
          <w:p w14:paraId="6637F691" w14:textId="05A113BD" w:rsidR="00C63DC3" w:rsidRDefault="00936F32" w:rsidP="00EF7191">
            <w:pPr>
              <w:pStyle w:val="TableText"/>
              <w:jc w:val="both"/>
              <w:rPr>
                <w:lang w:val="lt-LT"/>
              </w:rPr>
            </w:pPr>
            <w:r w:rsidRPr="00936F32">
              <w:rPr>
                <w:snapToGrid w:val="0"/>
                <w:lang w:val="lt-LT"/>
              </w:rPr>
              <w:t xml:space="preserve">Prašymai nagrinėjami, sąrašai yra tikslinami nuolat, </w:t>
            </w:r>
            <w:r w:rsidR="00664666">
              <w:rPr>
                <w:snapToGrid w:val="0"/>
                <w:lang w:val="lt-LT"/>
              </w:rPr>
              <w:t xml:space="preserve">vadovaujantis </w:t>
            </w:r>
            <w:r w:rsidR="00C63DC3" w:rsidRPr="00C63DC3">
              <w:rPr>
                <w:snapToGrid w:val="0"/>
                <w:lang w:val="lt-LT"/>
              </w:rPr>
              <w:t xml:space="preserve">Klaipėdos </w:t>
            </w:r>
            <w:r w:rsidR="00664666">
              <w:rPr>
                <w:snapToGrid w:val="0"/>
                <w:lang w:val="lt-LT"/>
              </w:rPr>
              <w:t xml:space="preserve">miesto savivaldybės </w:t>
            </w:r>
            <w:r w:rsidR="00C63DC3" w:rsidRPr="00C63DC3">
              <w:rPr>
                <w:snapToGrid w:val="0"/>
                <w:lang w:val="lt-LT"/>
              </w:rPr>
              <w:t>administracijos direktoriaus</w:t>
            </w:r>
            <w:r w:rsidR="00664666">
              <w:rPr>
                <w:snapToGrid w:val="0"/>
                <w:lang w:val="lt-LT"/>
              </w:rPr>
              <w:t xml:space="preserve"> 2019-11-08 </w:t>
            </w:r>
            <w:r w:rsidR="00664666" w:rsidRPr="00C63DC3">
              <w:rPr>
                <w:snapToGrid w:val="0"/>
                <w:lang w:val="lt-LT"/>
              </w:rPr>
              <w:t>įsakymu</w:t>
            </w:r>
            <w:r w:rsidR="00664666">
              <w:rPr>
                <w:snapToGrid w:val="0"/>
                <w:lang w:val="lt-LT"/>
              </w:rPr>
              <w:t xml:space="preserve"> Nr. AD1-1370</w:t>
            </w:r>
            <w:r w:rsidR="00C63DC3">
              <w:rPr>
                <w:snapToGrid w:val="0"/>
                <w:lang w:val="lt-LT"/>
              </w:rPr>
              <w:t xml:space="preserve"> </w:t>
            </w:r>
            <w:r w:rsidR="00664666">
              <w:rPr>
                <w:snapToGrid w:val="0"/>
                <w:lang w:val="lt-LT"/>
              </w:rPr>
              <w:t>patvirtintu</w:t>
            </w:r>
            <w:r w:rsidR="00664666" w:rsidRPr="00C63DC3">
              <w:rPr>
                <w:snapToGrid w:val="0"/>
                <w:lang w:val="lt-LT"/>
              </w:rPr>
              <w:t xml:space="preserve"> </w:t>
            </w:r>
            <w:r w:rsidR="00664666">
              <w:rPr>
                <w:snapToGrid w:val="0"/>
                <w:lang w:val="lt-LT"/>
              </w:rPr>
              <w:t>tvarkos aprašu</w:t>
            </w:r>
            <w:r w:rsidR="00C63DC3" w:rsidRPr="00C63DC3">
              <w:rPr>
                <w:snapToGrid w:val="0"/>
                <w:lang w:val="lt-LT"/>
              </w:rPr>
              <w:t xml:space="preserve"> “Dėl prašymų suteikti paramą būstui įsigyti </w:t>
            </w:r>
            <w:r w:rsidR="00C63DC3">
              <w:rPr>
                <w:snapToGrid w:val="0"/>
                <w:lang w:val="lt-LT"/>
              </w:rPr>
              <w:t>ar išsinuomoti priėmimo, turinčių teisę gauti šią paramą ir ją gaunančių asmenų sąrašų tvarkymo ir tikslinimo tvarkos aprašas“</w:t>
            </w:r>
            <w:r w:rsidR="00664666">
              <w:rPr>
                <w:snapToGrid w:val="0"/>
                <w:lang w:val="lt-LT"/>
              </w:rPr>
              <w:t>.</w:t>
            </w:r>
          </w:p>
          <w:p w14:paraId="442FBCC1" w14:textId="57A5B04F" w:rsidR="00EF7191" w:rsidRDefault="00EF7191" w:rsidP="00EF7191">
            <w:pPr>
              <w:pStyle w:val="TableText"/>
              <w:jc w:val="both"/>
              <w:rPr>
                <w:lang w:val="lt-LT"/>
              </w:rPr>
            </w:pPr>
            <w:r>
              <w:rPr>
                <w:lang w:val="lt-LT"/>
              </w:rPr>
              <w:t>Papildyti, sutikslinti (koreguoti) ir teisės aktuose nustatytais terminais</w:t>
            </w:r>
            <w:r w:rsidR="00664666">
              <w:rPr>
                <w:lang w:val="lt-LT"/>
              </w:rPr>
              <w:t xml:space="preserve"> sąrašai</w:t>
            </w:r>
            <w:r>
              <w:rPr>
                <w:lang w:val="lt-LT"/>
              </w:rPr>
              <w:t xml:space="preserve"> </w:t>
            </w:r>
            <w:r w:rsidR="00782999">
              <w:rPr>
                <w:lang w:val="lt-LT"/>
              </w:rPr>
              <w:t>paskelbiami Savivaldybės</w:t>
            </w:r>
            <w:r w:rsidR="00782999" w:rsidRPr="00F71313">
              <w:rPr>
                <w:lang w:val="lt-LT"/>
              </w:rPr>
              <w:t xml:space="preserve"> interneto svetainėje</w:t>
            </w:r>
            <w:r w:rsidR="00782999">
              <w:rPr>
                <w:lang w:val="lt-LT"/>
              </w:rPr>
              <w:t xml:space="preserve"> </w:t>
            </w:r>
            <w:r w:rsidR="00BA0A23" w:rsidRPr="00F71313">
              <w:rPr>
                <w:lang w:val="lt-LT"/>
              </w:rPr>
              <w:t>asmenų, pageidaujan</w:t>
            </w:r>
            <w:r w:rsidR="00BA0A23">
              <w:rPr>
                <w:lang w:val="lt-LT"/>
              </w:rPr>
              <w:t xml:space="preserve">čių išnuomoti socialinį būstą vieną kartą metuose iki </w:t>
            </w:r>
            <w:r w:rsidR="00664666">
              <w:rPr>
                <w:lang w:val="lt-LT"/>
              </w:rPr>
              <w:t>einamųjų metų sausio 31 d.</w:t>
            </w:r>
          </w:p>
          <w:p w14:paraId="415A295C" w14:textId="77777777" w:rsidR="004D0EDC" w:rsidRPr="002B3452" w:rsidRDefault="004D0EDC" w:rsidP="00A729EF">
            <w:pPr>
              <w:widowControl w:val="0"/>
              <w:rPr>
                <w:snapToGrid w:val="0"/>
              </w:rPr>
            </w:pPr>
          </w:p>
        </w:tc>
        <w:tc>
          <w:tcPr>
            <w:tcW w:w="1929" w:type="dxa"/>
          </w:tcPr>
          <w:p w14:paraId="3AF17441" w14:textId="77777777" w:rsidR="004D0EDC" w:rsidRPr="002B3452" w:rsidRDefault="004D0EDC" w:rsidP="00A729EF">
            <w:pPr>
              <w:widowControl w:val="0"/>
              <w:rPr>
                <w:snapToGrid w:val="0"/>
              </w:rPr>
            </w:pPr>
          </w:p>
        </w:tc>
      </w:tr>
      <w:tr w:rsidR="004D0EDC" w:rsidRPr="002B3452" w14:paraId="1E4E2F26" w14:textId="77777777" w:rsidTr="0039317E">
        <w:tc>
          <w:tcPr>
            <w:tcW w:w="3184" w:type="dxa"/>
            <w:vMerge/>
          </w:tcPr>
          <w:p w14:paraId="626DFC6B" w14:textId="77777777" w:rsidR="004D0EDC" w:rsidRPr="002B3452" w:rsidRDefault="004D0EDC" w:rsidP="00A729EF">
            <w:pPr>
              <w:widowControl w:val="0"/>
              <w:rPr>
                <w:snapToGrid w:val="0"/>
              </w:rPr>
            </w:pPr>
          </w:p>
        </w:tc>
        <w:tc>
          <w:tcPr>
            <w:tcW w:w="3211" w:type="dxa"/>
            <w:shd w:val="clear" w:color="auto" w:fill="auto"/>
          </w:tcPr>
          <w:p w14:paraId="30798424" w14:textId="387386D1" w:rsidR="004D0EDC" w:rsidRPr="004D0EDC" w:rsidRDefault="004D0EDC" w:rsidP="0039317E">
            <w:pPr>
              <w:pStyle w:val="Sraopastraipa"/>
              <w:tabs>
                <w:tab w:val="left" w:pos="142"/>
                <w:tab w:val="left" w:pos="1134"/>
              </w:tabs>
              <w:ind w:left="0"/>
              <w:jc w:val="both"/>
              <w:rPr>
                <w:szCs w:val="24"/>
                <w:highlight w:val="yellow"/>
              </w:rPr>
            </w:pPr>
            <w:r w:rsidRPr="0039317E">
              <w:rPr>
                <w:szCs w:val="24"/>
              </w:rPr>
              <w:t>Asmeniui (šeimai) eilės tvarka įgijus teisę išsinuomoti socialinį būstą, iki socialinio būsto nuomos sutarties sudarymo, patikrinti ar asmuo (šeima) atitinka įstatyme numatytus kriterijus.</w:t>
            </w:r>
          </w:p>
        </w:tc>
        <w:tc>
          <w:tcPr>
            <w:tcW w:w="5952" w:type="dxa"/>
          </w:tcPr>
          <w:p w14:paraId="5FCD7F21" w14:textId="7F975E26" w:rsidR="00EF7191" w:rsidRPr="007B733F" w:rsidRDefault="00EF7191" w:rsidP="00EF7191">
            <w:pPr>
              <w:pStyle w:val="TableText"/>
              <w:jc w:val="both"/>
              <w:rPr>
                <w:color w:val="000000" w:themeColor="text1"/>
                <w:lang w:val="lt-LT"/>
              </w:rPr>
            </w:pPr>
            <w:r>
              <w:rPr>
                <w:lang w:val="lt-LT"/>
              </w:rPr>
              <w:t xml:space="preserve">Įvertinami asmenų, kurie yra </w:t>
            </w:r>
            <w:r w:rsidRPr="00DF3E8E">
              <w:rPr>
                <w:bCs/>
                <w:color w:val="000000"/>
                <w:lang w:val="lt-LT"/>
              </w:rPr>
              <w:t>įrašyti į sąrašus ir sulaukė savo eilės paramai būstui išsinuomoti</w:t>
            </w:r>
            <w:r>
              <w:rPr>
                <w:bCs/>
                <w:color w:val="000000"/>
                <w:lang w:val="lt-LT"/>
              </w:rPr>
              <w:t xml:space="preserve">, duomenys: </w:t>
            </w:r>
            <w:r>
              <w:rPr>
                <w:lang w:val="lt-LT"/>
              </w:rPr>
              <w:t>pateiktos Metinių</w:t>
            </w:r>
            <w:r w:rsidRPr="00E43AA6">
              <w:rPr>
                <w:lang w:val="lt-LT"/>
              </w:rPr>
              <w:t xml:space="preserve"> gyvento</w:t>
            </w:r>
            <w:r>
              <w:rPr>
                <w:lang w:val="lt-LT"/>
              </w:rPr>
              <w:t>jo (šeimos) turto deklaracijos (forma FR0001) už praėjusius kalendorinius metus, Gyventojų registro duomenis (šeimos sudėtis, gyvenamosios vietos deklaracija)</w:t>
            </w:r>
            <w:r>
              <w:rPr>
                <w:bCs/>
                <w:color w:val="000000"/>
                <w:lang w:val="lt-LT"/>
              </w:rPr>
              <w:t xml:space="preserve">, VĮ Registrų centro duomenų bazės duomenis (ar asmuo/šeima nėra įgiję </w:t>
            </w:r>
            <w:r w:rsidRPr="00977A61">
              <w:rPr>
                <w:lang w:val="lt-LT"/>
              </w:rPr>
              <w:t>nuosavybės teise</w:t>
            </w:r>
            <w:r>
              <w:rPr>
                <w:color w:val="000000" w:themeColor="text1"/>
                <w:lang w:val="lt-LT"/>
              </w:rPr>
              <w:t xml:space="preserve"> būsto).</w:t>
            </w:r>
          </w:p>
          <w:p w14:paraId="40CF28CD" w14:textId="77777777" w:rsidR="004D0EDC" w:rsidRPr="002B3452" w:rsidRDefault="004D0EDC" w:rsidP="00A729EF">
            <w:pPr>
              <w:widowControl w:val="0"/>
              <w:rPr>
                <w:snapToGrid w:val="0"/>
              </w:rPr>
            </w:pPr>
          </w:p>
        </w:tc>
        <w:tc>
          <w:tcPr>
            <w:tcW w:w="1929" w:type="dxa"/>
          </w:tcPr>
          <w:p w14:paraId="665D2480" w14:textId="77777777" w:rsidR="004D0EDC" w:rsidRPr="002B3452" w:rsidRDefault="004D0EDC" w:rsidP="00A729EF">
            <w:pPr>
              <w:widowControl w:val="0"/>
              <w:rPr>
                <w:snapToGrid w:val="0"/>
              </w:rPr>
            </w:pPr>
          </w:p>
        </w:tc>
      </w:tr>
      <w:tr w:rsidR="00A729EF" w:rsidRPr="002B3452" w14:paraId="05265CCB" w14:textId="77777777" w:rsidTr="00B6666F">
        <w:tc>
          <w:tcPr>
            <w:tcW w:w="3184" w:type="dxa"/>
          </w:tcPr>
          <w:p w14:paraId="65EE19B4" w14:textId="780C1A49" w:rsidR="00A729EF" w:rsidRPr="0039317E" w:rsidRDefault="00C358F7" w:rsidP="00A729EF">
            <w:pPr>
              <w:widowControl w:val="0"/>
              <w:rPr>
                <w:snapToGrid w:val="0"/>
              </w:rPr>
            </w:pPr>
            <w:r w:rsidRPr="0039317E">
              <w:t>Savivaldybės, pirkdamos turto vertinimo paslaugas, sudaro sutartis, kuriose aiškiai nenustato nekilnojamojo turto vertinimo metodikos, pasirinktų objektų lyginimo skaičiaus, pataisų apskaičiavimo ir pan., nors turėtų būti suinteresuotos atliktų nekilnojamojo turto vertinimų ataskaitų kokybe, kadangi nuo to priklauso perkamo ir (ar) parduodamo turto vertė. Turto vertintojams suteikta galimybė savo nuožiūra pasirinkti turto vertinimo metodą, dėl to kyla rizika dėl netikslių turto vertinimo ataskaitų pateikimo, kuriomis gali būti iškreipiama vertinamo turto vertė. Atsižvelgiant į tai, kyla korupcijos rizika dėl neteisingų ir neobjektyvių sprendimų priėmimo (motyvai išdėstyti 5.2 poskyryje).</w:t>
            </w:r>
            <w:bookmarkStart w:id="0" w:name="_GoBack"/>
            <w:bookmarkEnd w:id="0"/>
          </w:p>
        </w:tc>
        <w:tc>
          <w:tcPr>
            <w:tcW w:w="3211" w:type="dxa"/>
          </w:tcPr>
          <w:p w14:paraId="7A5CF411" w14:textId="2BC29052" w:rsidR="00A729EF" w:rsidRDefault="00A729EF" w:rsidP="0039317E">
            <w:pPr>
              <w:pStyle w:val="Sraopastraipa"/>
              <w:tabs>
                <w:tab w:val="left" w:pos="142"/>
                <w:tab w:val="left" w:pos="1134"/>
              </w:tabs>
              <w:ind w:left="0"/>
              <w:jc w:val="both"/>
              <w:rPr>
                <w:szCs w:val="24"/>
              </w:rPr>
            </w:pPr>
            <w:r>
              <w:rPr>
                <w:szCs w:val="24"/>
              </w:rPr>
              <w:t>D</w:t>
            </w:r>
            <w:r w:rsidRPr="006A2F13">
              <w:rPr>
                <w:szCs w:val="24"/>
              </w:rPr>
              <w:t>alyvauti turto apžiūrose, analizuoti ir objektyviai vertinti turto vertintojų pateiktas ataskaitas dėl turto rinkos vertės nustatymo, o nustačius neatitikimų ar kitų klaidų pasinaudoti paslaugų sutartyje nustatyta teise reikšti pretenzijas turto vertintojui ir reikalauti pašalinti trūkumus arba kreiptis į</w:t>
            </w:r>
            <w:r w:rsidRPr="00AE2D15">
              <w:rPr>
                <w:szCs w:val="24"/>
              </w:rPr>
              <w:t xml:space="preserve"> Audito, apskaitos, turto vertinimo ir nemokumo valdymo tarnybą</w:t>
            </w:r>
            <w:r>
              <w:rPr>
                <w:szCs w:val="24"/>
              </w:rPr>
              <w:t>,</w:t>
            </w:r>
            <w:r w:rsidRPr="00566B04">
              <w:rPr>
                <w:szCs w:val="24"/>
              </w:rPr>
              <w:t xml:space="preserve"> </w:t>
            </w:r>
            <w:r w:rsidRPr="0013258D">
              <w:rPr>
                <w:szCs w:val="24"/>
              </w:rPr>
              <w:t>turto vertintojų veiklą kontroliuojančią instituciją</w:t>
            </w:r>
            <w:r w:rsidRPr="006A2F13">
              <w:rPr>
                <w:szCs w:val="24"/>
              </w:rPr>
              <w:t>.</w:t>
            </w:r>
          </w:p>
        </w:tc>
        <w:tc>
          <w:tcPr>
            <w:tcW w:w="5952" w:type="dxa"/>
          </w:tcPr>
          <w:p w14:paraId="5B0C1CAC" w14:textId="3492EEC1" w:rsidR="00A729EF" w:rsidRPr="002B3452" w:rsidRDefault="00007B35" w:rsidP="00A729EF">
            <w:pPr>
              <w:widowControl w:val="0"/>
              <w:rPr>
                <w:snapToGrid w:val="0"/>
              </w:rPr>
            </w:pPr>
            <w:r>
              <w:rPr>
                <w:snapToGrid w:val="0"/>
              </w:rPr>
              <w:t>Atliekant savivaldybės parduodamo ir (ar) perkamo nekilnojamojo turto vertinimą nuolat dalyvaus savivaldybės atstovas. Taip pat pagal turimą kompetenciją vertinamos turto vertinimo ataskaitos, siekiant išvengti neatitikimų ar kitų klaidų atsiradimo.</w:t>
            </w:r>
          </w:p>
        </w:tc>
        <w:tc>
          <w:tcPr>
            <w:tcW w:w="1929" w:type="dxa"/>
          </w:tcPr>
          <w:p w14:paraId="7AB4CCEB" w14:textId="77777777" w:rsidR="00A729EF" w:rsidRPr="002B3452" w:rsidRDefault="00A729EF" w:rsidP="00A729EF">
            <w:pPr>
              <w:widowControl w:val="0"/>
              <w:rPr>
                <w:snapToGrid w:val="0"/>
              </w:rPr>
            </w:pPr>
          </w:p>
        </w:tc>
      </w:tr>
      <w:tr w:rsidR="00505157" w:rsidRPr="002B3452" w14:paraId="64D7EF27" w14:textId="77777777" w:rsidTr="00B6666F">
        <w:tc>
          <w:tcPr>
            <w:tcW w:w="14276" w:type="dxa"/>
            <w:gridSpan w:val="4"/>
          </w:tcPr>
          <w:p w14:paraId="64D7EF26" w14:textId="77777777" w:rsidR="00505157" w:rsidRPr="008F1D8D" w:rsidRDefault="00505157" w:rsidP="00A729EF">
            <w:pPr>
              <w:pStyle w:val="Sraopastraipa"/>
              <w:widowControl w:val="0"/>
              <w:numPr>
                <w:ilvl w:val="0"/>
                <w:numId w:val="1"/>
              </w:numPr>
              <w:jc w:val="center"/>
              <w:rPr>
                <w:i/>
                <w:snapToGrid w:val="0"/>
              </w:rPr>
            </w:pPr>
            <w:r w:rsidRPr="008F1D8D">
              <w:rPr>
                <w:i/>
                <w:snapToGrid w:val="0"/>
              </w:rPr>
              <w:t>Kitos pastabos</w:t>
            </w:r>
          </w:p>
        </w:tc>
      </w:tr>
      <w:tr w:rsidR="00505157" w:rsidRPr="002B3452" w14:paraId="64D7EF2C" w14:textId="77777777" w:rsidTr="00B6666F">
        <w:tc>
          <w:tcPr>
            <w:tcW w:w="3184" w:type="dxa"/>
          </w:tcPr>
          <w:p w14:paraId="64D7EF28" w14:textId="77777777" w:rsidR="00505157" w:rsidRPr="002B3452" w:rsidRDefault="00505157" w:rsidP="00A729EF">
            <w:pPr>
              <w:widowControl w:val="0"/>
              <w:rPr>
                <w:snapToGrid w:val="0"/>
              </w:rPr>
            </w:pPr>
          </w:p>
        </w:tc>
        <w:tc>
          <w:tcPr>
            <w:tcW w:w="3211" w:type="dxa"/>
          </w:tcPr>
          <w:p w14:paraId="64D7EF29" w14:textId="77777777" w:rsidR="00505157" w:rsidRPr="002B3452" w:rsidRDefault="00505157" w:rsidP="00A729EF">
            <w:pPr>
              <w:widowControl w:val="0"/>
              <w:rPr>
                <w:snapToGrid w:val="0"/>
              </w:rPr>
            </w:pPr>
          </w:p>
        </w:tc>
        <w:tc>
          <w:tcPr>
            <w:tcW w:w="5952" w:type="dxa"/>
          </w:tcPr>
          <w:p w14:paraId="64D7EF2A" w14:textId="77777777" w:rsidR="00505157" w:rsidRPr="002B3452" w:rsidRDefault="00505157" w:rsidP="00A729EF">
            <w:pPr>
              <w:widowControl w:val="0"/>
              <w:rPr>
                <w:snapToGrid w:val="0"/>
              </w:rPr>
            </w:pPr>
          </w:p>
        </w:tc>
        <w:tc>
          <w:tcPr>
            <w:tcW w:w="1929" w:type="dxa"/>
          </w:tcPr>
          <w:p w14:paraId="64D7EF2B" w14:textId="77777777" w:rsidR="00505157" w:rsidRPr="002B3452" w:rsidRDefault="00505157" w:rsidP="00A729EF">
            <w:pPr>
              <w:widowControl w:val="0"/>
              <w:rPr>
                <w:snapToGrid w:val="0"/>
              </w:rPr>
            </w:pPr>
          </w:p>
        </w:tc>
      </w:tr>
      <w:tr w:rsidR="00505157" w:rsidRPr="002B3452" w14:paraId="64D7EF31" w14:textId="77777777" w:rsidTr="00B6666F">
        <w:tc>
          <w:tcPr>
            <w:tcW w:w="3184" w:type="dxa"/>
          </w:tcPr>
          <w:p w14:paraId="64D7EF2D" w14:textId="77777777" w:rsidR="00505157" w:rsidRPr="002B3452" w:rsidRDefault="00505157" w:rsidP="00A729EF">
            <w:pPr>
              <w:widowControl w:val="0"/>
              <w:rPr>
                <w:snapToGrid w:val="0"/>
              </w:rPr>
            </w:pPr>
          </w:p>
        </w:tc>
        <w:tc>
          <w:tcPr>
            <w:tcW w:w="3211" w:type="dxa"/>
          </w:tcPr>
          <w:p w14:paraId="64D7EF2E" w14:textId="77777777" w:rsidR="00505157" w:rsidRPr="002B3452" w:rsidRDefault="00505157" w:rsidP="00A729EF">
            <w:pPr>
              <w:widowControl w:val="0"/>
              <w:rPr>
                <w:snapToGrid w:val="0"/>
              </w:rPr>
            </w:pPr>
          </w:p>
        </w:tc>
        <w:tc>
          <w:tcPr>
            <w:tcW w:w="5952" w:type="dxa"/>
          </w:tcPr>
          <w:p w14:paraId="64D7EF2F" w14:textId="77777777" w:rsidR="00505157" w:rsidRPr="002B3452" w:rsidRDefault="00505157" w:rsidP="00A729EF">
            <w:pPr>
              <w:widowControl w:val="0"/>
              <w:rPr>
                <w:snapToGrid w:val="0"/>
              </w:rPr>
            </w:pPr>
          </w:p>
        </w:tc>
        <w:tc>
          <w:tcPr>
            <w:tcW w:w="1929" w:type="dxa"/>
          </w:tcPr>
          <w:p w14:paraId="64D7EF30" w14:textId="77777777" w:rsidR="00505157" w:rsidRPr="002B3452" w:rsidRDefault="00505157" w:rsidP="00A729EF">
            <w:pPr>
              <w:widowControl w:val="0"/>
              <w:rPr>
                <w:snapToGrid w:val="0"/>
              </w:rPr>
            </w:pPr>
          </w:p>
        </w:tc>
      </w:tr>
      <w:tr w:rsidR="00505157" w:rsidRPr="002B3452" w14:paraId="64D7EF36" w14:textId="77777777" w:rsidTr="00B6666F">
        <w:tc>
          <w:tcPr>
            <w:tcW w:w="3184" w:type="dxa"/>
          </w:tcPr>
          <w:p w14:paraId="64D7EF32" w14:textId="77777777" w:rsidR="00505157" w:rsidRPr="002B3452" w:rsidRDefault="00505157" w:rsidP="00A729EF">
            <w:pPr>
              <w:widowControl w:val="0"/>
              <w:rPr>
                <w:snapToGrid w:val="0"/>
              </w:rPr>
            </w:pPr>
          </w:p>
        </w:tc>
        <w:tc>
          <w:tcPr>
            <w:tcW w:w="3211" w:type="dxa"/>
          </w:tcPr>
          <w:p w14:paraId="64D7EF33" w14:textId="77777777" w:rsidR="00505157" w:rsidRPr="002B3452" w:rsidRDefault="00505157" w:rsidP="00A729EF">
            <w:pPr>
              <w:widowControl w:val="0"/>
              <w:rPr>
                <w:snapToGrid w:val="0"/>
              </w:rPr>
            </w:pPr>
          </w:p>
        </w:tc>
        <w:tc>
          <w:tcPr>
            <w:tcW w:w="5952" w:type="dxa"/>
          </w:tcPr>
          <w:p w14:paraId="64D7EF34" w14:textId="77777777" w:rsidR="00505157" w:rsidRPr="002B3452" w:rsidRDefault="00505157" w:rsidP="00A729EF">
            <w:pPr>
              <w:widowControl w:val="0"/>
              <w:rPr>
                <w:snapToGrid w:val="0"/>
              </w:rPr>
            </w:pPr>
          </w:p>
        </w:tc>
        <w:tc>
          <w:tcPr>
            <w:tcW w:w="1929" w:type="dxa"/>
          </w:tcPr>
          <w:p w14:paraId="64D7EF35" w14:textId="77777777" w:rsidR="00505157" w:rsidRPr="002B3452" w:rsidRDefault="00505157" w:rsidP="00A729EF">
            <w:pPr>
              <w:widowControl w:val="0"/>
              <w:rPr>
                <w:snapToGrid w:val="0"/>
              </w:rPr>
            </w:pPr>
          </w:p>
        </w:tc>
      </w:tr>
    </w:tbl>
    <w:p w14:paraId="64D7EF37" w14:textId="77777777" w:rsidR="00505157" w:rsidRDefault="00505157" w:rsidP="00505157">
      <w:pPr>
        <w:spacing w:line="360" w:lineRule="auto"/>
        <w:ind w:firstLine="851"/>
        <w:jc w:val="center"/>
        <w:rPr>
          <w:lang w:eastAsia="en-US"/>
        </w:rPr>
      </w:pPr>
    </w:p>
    <w:p w14:paraId="64D7EF38" w14:textId="77777777" w:rsidR="00505157" w:rsidRDefault="00505157" w:rsidP="00505157">
      <w:pPr>
        <w:jc w:val="center"/>
      </w:pPr>
      <w:r>
        <w:t>____________</w:t>
      </w:r>
    </w:p>
    <w:p w14:paraId="64D7EF39" w14:textId="77777777" w:rsidR="00A729EF" w:rsidRDefault="00A729EF"/>
    <w:sectPr w:rsidR="00A729EF" w:rsidSect="00A729EF">
      <w:footnotePr>
        <w:numFmt w:val="chicago"/>
      </w:footnotePr>
      <w:pgSz w:w="16838" w:h="11906" w:orient="landscape"/>
      <w:pgMar w:top="1701" w:right="1418"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7EF3C" w14:textId="77777777" w:rsidR="00A729EF" w:rsidRDefault="00A729EF" w:rsidP="00505157">
      <w:r>
        <w:separator/>
      </w:r>
    </w:p>
  </w:endnote>
  <w:endnote w:type="continuationSeparator" w:id="0">
    <w:p w14:paraId="64D7EF3D" w14:textId="77777777" w:rsidR="00A729EF" w:rsidRDefault="00A729EF" w:rsidP="0050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7EF3A" w14:textId="77777777" w:rsidR="00A729EF" w:rsidRDefault="00A729EF" w:rsidP="00505157">
      <w:r>
        <w:separator/>
      </w:r>
    </w:p>
  </w:footnote>
  <w:footnote w:type="continuationSeparator" w:id="0">
    <w:p w14:paraId="64D7EF3B" w14:textId="77777777" w:rsidR="00A729EF" w:rsidRDefault="00A729EF" w:rsidP="00505157">
      <w:r>
        <w:continuationSeparator/>
      </w:r>
    </w:p>
  </w:footnote>
  <w:footnote w:id="1">
    <w:p w14:paraId="64D7EF3E" w14:textId="77777777" w:rsidR="00A729EF" w:rsidRPr="0013385B" w:rsidRDefault="00A729EF" w:rsidP="00505157">
      <w:pPr>
        <w:pStyle w:val="Puslapioinaostekstas"/>
        <w:jc w:val="both"/>
        <w:rPr>
          <w:rFonts w:ascii="Times New Roman" w:hAnsi="Times New Roman"/>
        </w:rPr>
      </w:pPr>
      <w:r w:rsidRPr="00770A2D">
        <w:rPr>
          <w:rStyle w:val="Puslapioinaosnuoroda"/>
          <w:rFonts w:ascii="Times New Roman" w:hAnsi="Times New Roman"/>
        </w:rPr>
        <w:footnoteRef/>
      </w:r>
      <w:r w:rsidRPr="00770A2D">
        <w:rPr>
          <w:rFonts w:ascii="Times New Roman" w:hAnsi="Times New Roman"/>
          <w:bCs/>
        </w:rPr>
        <w:t xml:space="preserve"> Informaciją apie išvadoje dėl korupcijos rizikos analizės nurodytų pasiūly</w:t>
      </w:r>
      <w:r w:rsidRPr="000D690B">
        <w:rPr>
          <w:rFonts w:ascii="Times New Roman" w:hAnsi="Times New Roman"/>
          <w:bCs/>
        </w:rPr>
        <w:t>mų vykdymą ar numatomą įgyvendinimą prašome pateikti STT ne vėliau kaip per 3 mėnesius nuo išvados dėl korupcijos rizikos analizės gavimo dienos.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15AC1"/>
    <w:multiLevelType w:val="hybridMultilevel"/>
    <w:tmpl w:val="2280D6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57"/>
    <w:rsid w:val="00007B35"/>
    <w:rsid w:val="000E2DD3"/>
    <w:rsid w:val="000E3BE5"/>
    <w:rsid w:val="00113A30"/>
    <w:rsid w:val="00143EB5"/>
    <w:rsid w:val="0039317E"/>
    <w:rsid w:val="00422055"/>
    <w:rsid w:val="004D0EDC"/>
    <w:rsid w:val="00505157"/>
    <w:rsid w:val="00520DBA"/>
    <w:rsid w:val="00586C62"/>
    <w:rsid w:val="00600CCC"/>
    <w:rsid w:val="00664666"/>
    <w:rsid w:val="00782999"/>
    <w:rsid w:val="00936F32"/>
    <w:rsid w:val="00A729EF"/>
    <w:rsid w:val="00AD1A48"/>
    <w:rsid w:val="00B6666F"/>
    <w:rsid w:val="00BA0A23"/>
    <w:rsid w:val="00BE2066"/>
    <w:rsid w:val="00C358F7"/>
    <w:rsid w:val="00C55CCE"/>
    <w:rsid w:val="00C63598"/>
    <w:rsid w:val="00C63DC3"/>
    <w:rsid w:val="00CA3048"/>
    <w:rsid w:val="00DF309A"/>
    <w:rsid w:val="00E5051B"/>
    <w:rsid w:val="00E91F7A"/>
    <w:rsid w:val="00EF719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7EEFB"/>
  <w15:chartTrackingRefBased/>
  <w15:docId w15:val="{4674B3B3-EF0E-4CAE-83D8-262C36900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05157"/>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uslapioinaostekstas">
    <w:name w:val="footnote text"/>
    <w:basedOn w:val="prastasis"/>
    <w:link w:val="PuslapioinaostekstasDiagrama"/>
    <w:uiPriority w:val="99"/>
    <w:rsid w:val="00505157"/>
    <w:rPr>
      <w:rFonts w:ascii="Arial" w:eastAsia="Calibri" w:hAnsi="Arial"/>
      <w:sz w:val="20"/>
      <w:szCs w:val="20"/>
    </w:rPr>
  </w:style>
  <w:style w:type="character" w:customStyle="1" w:styleId="PuslapioinaostekstasDiagrama">
    <w:name w:val="Puslapio išnašos tekstas Diagrama"/>
    <w:basedOn w:val="Numatytasispastraiposriftas"/>
    <w:link w:val="Puslapioinaostekstas"/>
    <w:uiPriority w:val="99"/>
    <w:rsid w:val="00505157"/>
    <w:rPr>
      <w:rFonts w:ascii="Arial" w:eastAsia="Calibri" w:hAnsi="Arial" w:cs="Times New Roman"/>
      <w:sz w:val="20"/>
      <w:szCs w:val="20"/>
      <w:lang w:eastAsia="lt-LT"/>
    </w:rPr>
  </w:style>
  <w:style w:type="character" w:styleId="Puslapioinaosnuoroda">
    <w:name w:val="footnote reference"/>
    <w:uiPriority w:val="99"/>
    <w:rsid w:val="00505157"/>
    <w:rPr>
      <w:rFonts w:cs="Times New Roman"/>
      <w:vertAlign w:val="superscript"/>
    </w:rPr>
  </w:style>
  <w:style w:type="table" w:styleId="Lentelstinklelis">
    <w:name w:val="Table Grid"/>
    <w:basedOn w:val="prastojilentel"/>
    <w:rsid w:val="00505157"/>
    <w:pPr>
      <w:spacing w:after="0" w:line="240" w:lineRule="auto"/>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aliases w:val="Numbering,ERP-List Paragraph,List Paragraph11,List Paragraph111,Medium Grid 1 - Accent 21,List Paragraph2,Buletai,List Paragraph21,lp1,Bullet 1,Use Case List Paragraph,Sąrašo pastraipa1,List Paragraph1,Bullet EY,Paragraph,List Paragr1"/>
    <w:basedOn w:val="prastasis"/>
    <w:link w:val="SraopastraipaDiagrama"/>
    <w:uiPriority w:val="34"/>
    <w:qFormat/>
    <w:rsid w:val="00505157"/>
    <w:pPr>
      <w:ind w:left="720"/>
      <w:contextualSpacing/>
    </w:pPr>
    <w:rPr>
      <w:szCs w:val="20"/>
      <w:lang w:eastAsia="en-US"/>
    </w:rPr>
  </w:style>
  <w:style w:type="character" w:customStyle="1" w:styleId="SraopastraipaDiagrama">
    <w:name w:val="Sąrašo pastraipa Diagrama"/>
    <w:aliases w:val="Numbering Diagrama,ERP-List Paragraph Diagrama,List Paragraph11 Diagrama,List Paragraph111 Diagrama,Medium Grid 1 - Accent 21 Diagrama,List Paragraph2 Diagrama,Buletai Diagrama,List Paragraph21 Diagrama,lp1 Diagrama"/>
    <w:link w:val="Sraopastraipa"/>
    <w:uiPriority w:val="34"/>
    <w:rsid w:val="00E5051B"/>
    <w:rPr>
      <w:rFonts w:ascii="Times New Roman" w:eastAsia="Times New Roman" w:hAnsi="Times New Roman" w:cs="Times New Roman"/>
      <w:sz w:val="24"/>
      <w:szCs w:val="20"/>
    </w:rPr>
  </w:style>
  <w:style w:type="paragraph" w:customStyle="1" w:styleId="TableText">
    <w:name w:val="Table Text"/>
    <w:basedOn w:val="prastasis"/>
    <w:rsid w:val="00EF7191"/>
    <w:pPr>
      <w:autoSpaceDE w:val="0"/>
      <w:autoSpaceDN w:val="0"/>
      <w:adjustRightInd w:val="0"/>
      <w:jc w:val="righ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57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DCA12-050F-40A9-A644-D82384DB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6096</Words>
  <Characters>3475</Characters>
  <Application>Microsoft Office Word</Application>
  <DocSecurity>4</DocSecurity>
  <Lines>28</Lines>
  <Paragraphs>19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Rokas Rimša</dc:creator>
  <cp:keywords/>
  <dc:description/>
  <cp:lastModifiedBy>Alma Karčauskienė</cp:lastModifiedBy>
  <cp:revision>2</cp:revision>
  <dcterms:created xsi:type="dcterms:W3CDTF">2022-05-25T10:20:00Z</dcterms:created>
  <dcterms:modified xsi:type="dcterms:W3CDTF">2022-05-25T10:20:00Z</dcterms:modified>
</cp:coreProperties>
</file>