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802" w:type="dxa"/>
        <w:tblInd w:w="9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tblGrid>
      <w:tr w:rsidR="00EC481C" w14:paraId="6B13B5C1" w14:textId="77777777" w:rsidTr="00EC481C">
        <w:tc>
          <w:tcPr>
            <w:tcW w:w="4802" w:type="dxa"/>
          </w:tcPr>
          <w:p w14:paraId="75D0ECA7" w14:textId="77777777" w:rsidR="00EC481C" w:rsidRDefault="00EC481C" w:rsidP="003F2E0E">
            <w:r>
              <w:t>Klaipėdos miesto savivaldybės administracijos</w:t>
            </w:r>
          </w:p>
        </w:tc>
      </w:tr>
      <w:tr w:rsidR="00EC481C" w14:paraId="5C75CE2C" w14:textId="77777777" w:rsidTr="00EC481C">
        <w:tc>
          <w:tcPr>
            <w:tcW w:w="4802" w:type="dxa"/>
          </w:tcPr>
          <w:p w14:paraId="6E30AD50" w14:textId="15269BF7" w:rsidR="00EC481C" w:rsidRDefault="00EC481C" w:rsidP="003F2E0E">
            <w:r>
              <w:t xml:space="preserve">direktoriaus </w:t>
            </w:r>
            <w:r w:rsidR="007D369B">
              <w:t>2021 m. gegužės 17 d.</w:t>
            </w:r>
          </w:p>
        </w:tc>
      </w:tr>
      <w:tr w:rsidR="00EC481C" w14:paraId="18942FF2" w14:textId="77777777" w:rsidTr="00EC481C">
        <w:tc>
          <w:tcPr>
            <w:tcW w:w="4802" w:type="dxa"/>
          </w:tcPr>
          <w:p w14:paraId="2E734E6B" w14:textId="25478130" w:rsidR="00EC481C" w:rsidRDefault="00EC481C" w:rsidP="003F2E0E">
            <w:pPr>
              <w:tabs>
                <w:tab w:val="left" w:pos="5070"/>
                <w:tab w:val="left" w:pos="5366"/>
                <w:tab w:val="left" w:pos="6771"/>
                <w:tab w:val="left" w:pos="7363"/>
              </w:tabs>
            </w:pPr>
            <w:r>
              <w:t>įsakymo Nr.</w:t>
            </w:r>
            <w:r w:rsidR="007D369B">
              <w:t xml:space="preserve"> </w:t>
            </w:r>
            <w:r w:rsidR="00DA3B49">
              <w:t>A</w:t>
            </w:r>
            <w:r w:rsidR="007D369B">
              <w:t>D1-624</w:t>
            </w:r>
          </w:p>
        </w:tc>
      </w:tr>
      <w:tr w:rsidR="00EC481C" w14:paraId="07AF0C92" w14:textId="77777777" w:rsidTr="00EC481C">
        <w:tc>
          <w:tcPr>
            <w:tcW w:w="4802" w:type="dxa"/>
          </w:tcPr>
          <w:p w14:paraId="08001EED" w14:textId="77777777" w:rsidR="00EC481C" w:rsidRDefault="00EC481C" w:rsidP="003F2E0E">
            <w:pPr>
              <w:tabs>
                <w:tab w:val="left" w:pos="5070"/>
                <w:tab w:val="left" w:pos="5366"/>
                <w:tab w:val="left" w:pos="6771"/>
                <w:tab w:val="left" w:pos="7363"/>
              </w:tabs>
            </w:pPr>
            <w:r>
              <w:t>priedas</w:t>
            </w:r>
          </w:p>
        </w:tc>
      </w:tr>
    </w:tbl>
    <w:p w14:paraId="0E815A03" w14:textId="684BF6D2" w:rsidR="00F27502" w:rsidRDefault="00F27502" w:rsidP="00923A6C">
      <w:pPr>
        <w:jc w:val="center"/>
      </w:pPr>
    </w:p>
    <w:p w14:paraId="4548CEB3" w14:textId="77777777" w:rsidR="00F27502" w:rsidRDefault="00F27502" w:rsidP="00923A6C">
      <w:pPr>
        <w:jc w:val="center"/>
      </w:pPr>
    </w:p>
    <w:p w14:paraId="405FE216" w14:textId="654A8755" w:rsidR="00F27502" w:rsidRPr="00F27502" w:rsidRDefault="00F27502" w:rsidP="00923A6C">
      <w:pPr>
        <w:jc w:val="center"/>
        <w:rPr>
          <w:b/>
          <w:caps/>
        </w:rPr>
      </w:pPr>
      <w:r w:rsidRPr="00F27502">
        <w:rPr>
          <w:b/>
          <w:caps/>
        </w:rPr>
        <w:t>Klaipėdos miesto savivaldybės įstaigų, įmonių veiklos bei turto valdymo optimizavimo veiksmų plano, patvirtinto Klaipėdos miesto savivaldybės administracijos direktoriaus 2</w:t>
      </w:r>
      <w:bookmarkStart w:id="0" w:name="_GoBack"/>
      <w:bookmarkEnd w:id="0"/>
      <w:r w:rsidRPr="00F27502">
        <w:rPr>
          <w:b/>
          <w:caps/>
        </w:rPr>
        <w:t>021 m. vasario 25 d. įsakymu Nr. AD1-252 „Dėl Klaipėdos miesto savivaldybės įstaigų, įmonių veiklos bei turto valdymo optimizavimo veiksmų plano patvirtinimo“</w:t>
      </w:r>
      <w:r w:rsidR="00E04F3A">
        <w:rPr>
          <w:b/>
          <w:caps/>
        </w:rPr>
        <w:t>,</w:t>
      </w:r>
      <w:r w:rsidRPr="00F27502">
        <w:rPr>
          <w:b/>
          <w:caps/>
        </w:rPr>
        <w:t xml:space="preserve"> </w:t>
      </w:r>
      <w:r w:rsidR="000D62EA">
        <w:rPr>
          <w:b/>
          <w:caps/>
        </w:rPr>
        <w:t>7</w:t>
      </w:r>
      <w:r w:rsidR="00FB2C37">
        <w:rPr>
          <w:b/>
          <w:caps/>
        </w:rPr>
        <w:t xml:space="preserve">, </w:t>
      </w:r>
      <w:r w:rsidRPr="00F27502">
        <w:rPr>
          <w:b/>
          <w:caps/>
        </w:rPr>
        <w:t>10</w:t>
      </w:r>
      <w:r w:rsidR="00FB2C37">
        <w:rPr>
          <w:b/>
          <w:caps/>
        </w:rPr>
        <w:t xml:space="preserve"> ir 12</w:t>
      </w:r>
      <w:r w:rsidRPr="00F27502">
        <w:rPr>
          <w:b/>
          <w:caps/>
        </w:rPr>
        <w:t xml:space="preserve"> punkt</w:t>
      </w:r>
      <w:r w:rsidR="000D62EA">
        <w:rPr>
          <w:b/>
          <w:caps/>
        </w:rPr>
        <w:t>Ų</w:t>
      </w:r>
      <w:r w:rsidRPr="00F27502">
        <w:rPr>
          <w:b/>
          <w:caps/>
        </w:rPr>
        <w:t xml:space="preserve"> pakeitimas</w:t>
      </w:r>
    </w:p>
    <w:p w14:paraId="26E42830" w14:textId="5E9ADC51" w:rsidR="00202929" w:rsidRDefault="00202929" w:rsidP="00F27502"/>
    <w:p w14:paraId="760309DB" w14:textId="77777777" w:rsidR="00202929" w:rsidRDefault="00202929" w:rsidP="00F27502"/>
    <w:tbl>
      <w:tblPr>
        <w:tblW w:w="15594" w:type="dxa"/>
        <w:tblInd w:w="-431" w:type="dxa"/>
        <w:tblLayout w:type="fixed"/>
        <w:tblLook w:val="04A0" w:firstRow="1" w:lastRow="0" w:firstColumn="1" w:lastColumn="0" w:noHBand="0" w:noVBand="1"/>
      </w:tblPr>
      <w:tblGrid>
        <w:gridCol w:w="710"/>
        <w:gridCol w:w="2386"/>
        <w:gridCol w:w="8103"/>
        <w:gridCol w:w="1559"/>
        <w:gridCol w:w="2836"/>
      </w:tblGrid>
      <w:tr w:rsidR="000D62EA" w:rsidRPr="009C31DE" w14:paraId="20D7E724" w14:textId="77777777" w:rsidTr="000D62EA">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04607EF" w14:textId="77777777" w:rsidR="000D62EA" w:rsidRPr="009C31DE" w:rsidRDefault="000D62EA" w:rsidP="008F7DF6">
            <w:pPr>
              <w:widowControl w:val="0"/>
              <w:jc w:val="both"/>
              <w:rPr>
                <w:color w:val="000000"/>
                <w:lang w:eastAsia="lt-LT"/>
              </w:rPr>
            </w:pPr>
            <w:r w:rsidRPr="009C31DE">
              <w:rPr>
                <w:color w:val="000000"/>
                <w:lang w:eastAsia="lt-LT"/>
              </w:rPr>
              <w:t>7.</w:t>
            </w:r>
          </w:p>
        </w:tc>
        <w:tc>
          <w:tcPr>
            <w:tcW w:w="2386" w:type="dxa"/>
            <w:tcBorders>
              <w:top w:val="single" w:sz="4" w:space="0" w:color="auto"/>
              <w:left w:val="nil"/>
              <w:bottom w:val="single" w:sz="4" w:space="0" w:color="auto"/>
              <w:right w:val="single" w:sz="4" w:space="0" w:color="auto"/>
            </w:tcBorders>
            <w:shd w:val="clear" w:color="auto" w:fill="auto"/>
            <w:hideMark/>
          </w:tcPr>
          <w:p w14:paraId="79AB46AB" w14:textId="77777777" w:rsidR="000D62EA" w:rsidRPr="009C31DE" w:rsidRDefault="000D62EA" w:rsidP="008F7DF6">
            <w:pPr>
              <w:widowControl w:val="0"/>
              <w:rPr>
                <w:color w:val="000000"/>
                <w:lang w:eastAsia="lt-LT"/>
              </w:rPr>
            </w:pPr>
            <w:r w:rsidRPr="009C31DE">
              <w:rPr>
                <w:color w:val="000000"/>
                <w:lang w:eastAsia="lt-LT"/>
              </w:rPr>
              <w:t>Parengti siūlymus dėl biudžetinių įstaigų bendrųjų funkcijų centralizavimo</w:t>
            </w:r>
          </w:p>
        </w:tc>
        <w:tc>
          <w:tcPr>
            <w:tcW w:w="8103" w:type="dxa"/>
            <w:tcBorders>
              <w:top w:val="single" w:sz="4" w:space="0" w:color="auto"/>
              <w:left w:val="nil"/>
              <w:bottom w:val="single" w:sz="4" w:space="0" w:color="auto"/>
              <w:right w:val="single" w:sz="4" w:space="0" w:color="auto"/>
            </w:tcBorders>
            <w:shd w:val="clear" w:color="auto" w:fill="auto"/>
            <w:hideMark/>
          </w:tcPr>
          <w:p w14:paraId="3AC30F13" w14:textId="77777777" w:rsidR="000D62EA" w:rsidRPr="009C31DE" w:rsidRDefault="000D62EA" w:rsidP="008F7DF6">
            <w:pPr>
              <w:widowControl w:val="0"/>
              <w:jc w:val="both"/>
              <w:rPr>
                <w:color w:val="000000"/>
                <w:lang w:eastAsia="lt-LT"/>
              </w:rPr>
            </w:pPr>
            <w:r w:rsidRPr="009C31DE">
              <w:rPr>
                <w:color w:val="000000"/>
                <w:lang w:eastAsia="lt-LT"/>
              </w:rPr>
              <w:t>2009</w:t>
            </w:r>
            <w:r>
              <w:rPr>
                <w:color w:val="000000"/>
                <w:lang w:eastAsia="lt-LT"/>
              </w:rPr>
              <w:t>–</w:t>
            </w:r>
            <w:r w:rsidRPr="009C31DE">
              <w:rPr>
                <w:color w:val="000000"/>
                <w:lang w:eastAsia="lt-LT"/>
              </w:rPr>
              <w:t>2010 m. centralizavus biudžetinių įstaigų buhalterinę apskaitą, biudžetinėse įstaigose buhalterinės apskaitos darbuotojų sumažėjo 5 kartus, tačiau įstaigose vis tiek išliko atskiros darbuotojų, kurie tiesiogiai atlieka ekonominio planavimo ir pirminės apskaitos funkcijas, pareigybės (35 etatai). Kai kuriose mažesnėse įstaigose darbuotojai atlieka šias funkcijas netiesiogiai (pvz., kaip raštinės administratoriai), tokių pareigybių yra 77 etatai. Įstaigose pareigybės, susijusios su ekonominiu planavim</w:t>
            </w:r>
            <w:r>
              <w:rPr>
                <w:color w:val="000000"/>
                <w:lang w:eastAsia="lt-LT"/>
              </w:rPr>
              <w:t>u</w:t>
            </w:r>
            <w:r w:rsidRPr="009C31DE">
              <w:rPr>
                <w:color w:val="000000"/>
                <w:lang w:eastAsia="lt-LT"/>
              </w:rPr>
              <w:t xml:space="preserve"> bei apskaita, yra išlikusios dėl mažo procesų brandos lygio, mažo administracijų finansinio raštingumo, didelio mažų įstaigų skaičiaus.</w:t>
            </w:r>
          </w:p>
        </w:tc>
        <w:tc>
          <w:tcPr>
            <w:tcW w:w="1559" w:type="dxa"/>
            <w:tcBorders>
              <w:top w:val="single" w:sz="4" w:space="0" w:color="auto"/>
              <w:left w:val="nil"/>
              <w:bottom w:val="single" w:sz="4" w:space="0" w:color="auto"/>
              <w:right w:val="single" w:sz="4" w:space="0" w:color="auto"/>
            </w:tcBorders>
            <w:shd w:val="clear" w:color="auto" w:fill="auto"/>
            <w:hideMark/>
          </w:tcPr>
          <w:p w14:paraId="6826169B" w14:textId="08EA435B" w:rsidR="000D62EA" w:rsidRPr="009C31DE" w:rsidRDefault="000D62EA" w:rsidP="000D62EA">
            <w:pPr>
              <w:widowControl w:val="0"/>
              <w:rPr>
                <w:color w:val="000000"/>
                <w:lang w:eastAsia="lt-LT"/>
              </w:rPr>
            </w:pPr>
            <w:r w:rsidRPr="009C31DE">
              <w:rPr>
                <w:color w:val="000000"/>
                <w:lang w:eastAsia="lt-LT"/>
              </w:rPr>
              <w:t xml:space="preserve">Vyriausioji patarėja </w:t>
            </w:r>
            <w:r w:rsidRPr="000D62EA">
              <w:rPr>
                <w:color w:val="000000"/>
                <w:lang w:eastAsia="lt-LT"/>
              </w:rPr>
              <w:t xml:space="preserve">S. </w:t>
            </w:r>
            <w:proofErr w:type="spellStart"/>
            <w:r w:rsidRPr="000D62EA">
              <w:rPr>
                <w:color w:val="000000"/>
                <w:lang w:eastAsia="lt-LT"/>
              </w:rPr>
              <w:t>Tamašauskie</w:t>
            </w:r>
            <w:proofErr w:type="spellEnd"/>
            <w:r w:rsidR="00202929">
              <w:rPr>
                <w:color w:val="000000"/>
                <w:lang w:eastAsia="lt-LT"/>
              </w:rPr>
              <w:t>-</w:t>
            </w:r>
            <w:r w:rsidRPr="000D62EA">
              <w:rPr>
                <w:color w:val="000000"/>
                <w:lang w:eastAsia="lt-LT"/>
              </w:rPr>
              <w:t>nė,</w:t>
            </w:r>
            <w:r w:rsidRPr="009C31DE">
              <w:rPr>
                <w:color w:val="000000"/>
                <w:lang w:eastAsia="lt-LT"/>
              </w:rPr>
              <w:t xml:space="preserve"> Informacinių technologijų skyrius, Biudžetinių įstaigų </w:t>
            </w:r>
            <w:proofErr w:type="spellStart"/>
            <w:r w:rsidRPr="009C31DE">
              <w:rPr>
                <w:color w:val="000000"/>
                <w:lang w:eastAsia="lt-LT"/>
              </w:rPr>
              <w:t>centralizuo</w:t>
            </w:r>
            <w:proofErr w:type="spellEnd"/>
            <w:r>
              <w:rPr>
                <w:color w:val="000000"/>
                <w:lang w:eastAsia="lt-LT"/>
              </w:rPr>
              <w:t>-</w:t>
            </w:r>
            <w:r w:rsidRPr="009C31DE">
              <w:rPr>
                <w:color w:val="000000"/>
                <w:lang w:eastAsia="lt-LT"/>
              </w:rPr>
              <w:t xml:space="preserve">tos apskaitos skyrius </w:t>
            </w:r>
            <w:r>
              <w:rPr>
                <w:color w:val="000000"/>
                <w:lang w:eastAsia="lt-LT"/>
              </w:rPr>
              <w:t>(toliau – BĮCAS), Planavimo ir analizės skyrius</w:t>
            </w:r>
          </w:p>
        </w:tc>
        <w:tc>
          <w:tcPr>
            <w:tcW w:w="2836" w:type="dxa"/>
            <w:tcBorders>
              <w:top w:val="single" w:sz="4" w:space="0" w:color="auto"/>
              <w:left w:val="nil"/>
              <w:bottom w:val="single" w:sz="4" w:space="0" w:color="auto"/>
              <w:right w:val="single" w:sz="4" w:space="0" w:color="auto"/>
            </w:tcBorders>
            <w:shd w:val="clear" w:color="auto" w:fill="auto"/>
            <w:hideMark/>
          </w:tcPr>
          <w:p w14:paraId="183E15D2" w14:textId="77777777" w:rsidR="000D62EA" w:rsidRPr="009C31DE" w:rsidRDefault="000D62EA" w:rsidP="008F7DF6">
            <w:pPr>
              <w:widowControl w:val="0"/>
              <w:rPr>
                <w:color w:val="000000"/>
                <w:lang w:eastAsia="lt-LT"/>
              </w:rPr>
            </w:pPr>
            <w:r>
              <w:rPr>
                <w:color w:val="000000"/>
                <w:lang w:eastAsia="lt-LT"/>
              </w:rPr>
              <w:t>I</w:t>
            </w:r>
            <w:r w:rsidRPr="009C31DE">
              <w:rPr>
                <w:color w:val="000000"/>
                <w:lang w:eastAsia="lt-LT"/>
              </w:rPr>
              <w:t>ki 2022-12-31</w:t>
            </w:r>
            <w:r>
              <w:rPr>
                <w:color w:val="000000"/>
                <w:lang w:eastAsia="lt-LT"/>
              </w:rPr>
              <w:t xml:space="preserve"> </w:t>
            </w:r>
            <w:r w:rsidRPr="009C31DE">
              <w:rPr>
                <w:color w:val="000000"/>
                <w:lang w:eastAsia="lt-LT"/>
              </w:rPr>
              <w:t xml:space="preserve">įgyvendintas </w:t>
            </w:r>
            <w:r>
              <w:rPr>
                <w:color w:val="000000"/>
                <w:lang w:eastAsia="lt-LT"/>
              </w:rPr>
              <w:t>b</w:t>
            </w:r>
            <w:r w:rsidRPr="009C31DE">
              <w:rPr>
                <w:color w:val="000000"/>
                <w:lang w:eastAsia="lt-LT"/>
              </w:rPr>
              <w:t>iudžetinių įstaigų veiklos planavimo ir apskaitos pertvarkymo planas</w:t>
            </w:r>
            <w:r>
              <w:rPr>
                <w:color w:val="000000"/>
                <w:lang w:eastAsia="lt-LT"/>
              </w:rPr>
              <w:t>.</w:t>
            </w:r>
            <w:r w:rsidRPr="009C31DE">
              <w:rPr>
                <w:color w:val="000000"/>
                <w:lang w:eastAsia="lt-LT"/>
              </w:rPr>
              <w:t xml:space="preserve"> </w:t>
            </w:r>
          </w:p>
        </w:tc>
      </w:tr>
      <w:tr w:rsidR="00F27502" w:rsidRPr="009C31DE" w14:paraId="51433C8D" w14:textId="77777777" w:rsidTr="000D62EA">
        <w:trPr>
          <w:trHeight w:val="458"/>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01223A" w14:textId="30A70AB0" w:rsidR="00F27502" w:rsidRPr="00202929" w:rsidRDefault="00F27502" w:rsidP="00202929">
            <w:pPr>
              <w:widowControl w:val="0"/>
              <w:jc w:val="both"/>
              <w:rPr>
                <w:color w:val="000000"/>
                <w:lang w:eastAsia="lt-LT"/>
              </w:rPr>
            </w:pPr>
            <w:r w:rsidRPr="009C31DE">
              <w:rPr>
                <w:color w:val="000000"/>
                <w:lang w:eastAsia="lt-LT"/>
              </w:rPr>
              <w:t>10.</w:t>
            </w:r>
          </w:p>
        </w:tc>
        <w:tc>
          <w:tcPr>
            <w:tcW w:w="23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255550" w14:textId="77777777" w:rsidR="00F27502" w:rsidRPr="009C31DE" w:rsidRDefault="00F27502" w:rsidP="00DE6F35">
            <w:pPr>
              <w:widowControl w:val="0"/>
              <w:rPr>
                <w:color w:val="000000"/>
                <w:lang w:eastAsia="lt-LT"/>
              </w:rPr>
            </w:pPr>
            <w:r w:rsidRPr="009C31DE">
              <w:rPr>
                <w:color w:val="000000"/>
                <w:lang w:eastAsia="lt-LT"/>
              </w:rPr>
              <w:t xml:space="preserve">Parengti siūlymus dėl VšĮ „Klaipėdos šventės“ funkcijų išgryninimo, papildymo bei veiklos </w:t>
            </w:r>
            <w:r w:rsidRPr="009C31DE">
              <w:rPr>
                <w:color w:val="000000"/>
                <w:lang w:eastAsia="lt-LT"/>
              </w:rPr>
              <w:lastRenderedPageBreak/>
              <w:t>optimizavimo</w:t>
            </w:r>
          </w:p>
        </w:tc>
        <w:tc>
          <w:tcPr>
            <w:tcW w:w="81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46BE59" w14:textId="77777777" w:rsidR="00F27502" w:rsidRPr="009C31DE" w:rsidRDefault="00F27502" w:rsidP="00DE6F35">
            <w:pPr>
              <w:widowControl w:val="0"/>
              <w:jc w:val="both"/>
              <w:rPr>
                <w:color w:val="000000"/>
                <w:lang w:eastAsia="lt-LT"/>
              </w:rPr>
            </w:pPr>
            <w:r w:rsidRPr="009C31DE">
              <w:rPr>
                <w:color w:val="000000"/>
                <w:lang w:eastAsia="lt-LT"/>
              </w:rPr>
              <w:lastRenderedPageBreak/>
              <w:t>Iki 2021-03-01 peržiūrėti ir atnaujinti VšĮ „Klaipėdos šventės“ įstatus, išgryninant nurodytas įstaigos funkcijas.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011F78" w14:textId="77777777" w:rsidR="00F27502" w:rsidRPr="009C31DE" w:rsidRDefault="00F27502" w:rsidP="00DE6F35">
            <w:pPr>
              <w:widowControl w:val="0"/>
              <w:rPr>
                <w:color w:val="000000"/>
                <w:lang w:eastAsia="lt-LT"/>
              </w:rPr>
            </w:pPr>
            <w:r w:rsidRPr="009C31DE">
              <w:rPr>
                <w:color w:val="000000"/>
                <w:lang w:eastAsia="lt-LT"/>
              </w:rPr>
              <w:t>Kultūros skyrius</w:t>
            </w:r>
            <w:r w:rsidRPr="009C31DE">
              <w:rPr>
                <w:b/>
                <w:bCs/>
                <w:color w:val="000000"/>
                <w:lang w:eastAsia="lt-LT"/>
              </w:rPr>
              <w:t xml:space="preserve"> </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210ED8" w14:textId="77777777" w:rsidR="00F27502" w:rsidRPr="009C31DE" w:rsidRDefault="00F27502" w:rsidP="00DE6F35">
            <w:pPr>
              <w:widowControl w:val="0"/>
              <w:rPr>
                <w:color w:val="000000"/>
                <w:lang w:eastAsia="lt-LT"/>
              </w:rPr>
            </w:pPr>
            <w:r>
              <w:rPr>
                <w:color w:val="000000"/>
                <w:lang w:eastAsia="lt-LT"/>
              </w:rPr>
              <w:t>I</w:t>
            </w:r>
            <w:r w:rsidRPr="009C31DE">
              <w:rPr>
                <w:color w:val="000000"/>
                <w:lang w:eastAsia="lt-LT"/>
              </w:rPr>
              <w:t>ki 2021-0</w:t>
            </w:r>
            <w:r>
              <w:rPr>
                <w:color w:val="000000"/>
                <w:lang w:eastAsia="lt-LT"/>
              </w:rPr>
              <w:t>9</w:t>
            </w:r>
            <w:r w:rsidRPr="009C31DE">
              <w:rPr>
                <w:color w:val="000000"/>
                <w:lang w:eastAsia="lt-LT"/>
              </w:rPr>
              <w:t>-01</w:t>
            </w:r>
            <w:r>
              <w:rPr>
                <w:color w:val="000000"/>
                <w:lang w:eastAsia="lt-LT"/>
              </w:rPr>
              <w:t xml:space="preserve"> p</w:t>
            </w:r>
            <w:r w:rsidRPr="009C31DE">
              <w:rPr>
                <w:color w:val="000000"/>
                <w:lang w:eastAsia="lt-LT"/>
              </w:rPr>
              <w:t>atvirtinti įstatai</w:t>
            </w:r>
            <w:r>
              <w:rPr>
                <w:color w:val="000000"/>
                <w:lang w:eastAsia="lt-LT"/>
              </w:rPr>
              <w:t>.</w:t>
            </w:r>
          </w:p>
        </w:tc>
      </w:tr>
      <w:tr w:rsidR="00CB3E5B" w:rsidRPr="009C31DE" w14:paraId="2345032D" w14:textId="77777777" w:rsidTr="000D62EA">
        <w:trPr>
          <w:trHeight w:val="458"/>
        </w:trPr>
        <w:tc>
          <w:tcPr>
            <w:tcW w:w="710" w:type="dxa"/>
            <w:vMerge/>
            <w:tcBorders>
              <w:top w:val="single" w:sz="4" w:space="0" w:color="auto"/>
              <w:left w:val="single" w:sz="4" w:space="0" w:color="auto"/>
              <w:bottom w:val="single" w:sz="4" w:space="0" w:color="auto"/>
              <w:right w:val="single" w:sz="4" w:space="0" w:color="auto"/>
            </w:tcBorders>
            <w:shd w:val="clear" w:color="auto" w:fill="auto"/>
          </w:tcPr>
          <w:p w14:paraId="11480F47" w14:textId="77777777" w:rsidR="00CB3E5B" w:rsidRPr="009C31DE" w:rsidRDefault="00CB3E5B" w:rsidP="00DE6F35">
            <w:pPr>
              <w:widowControl w:val="0"/>
              <w:jc w:val="both"/>
              <w:rPr>
                <w:color w:val="000000"/>
                <w:lang w:eastAsia="lt-LT"/>
              </w:rPr>
            </w:pPr>
          </w:p>
        </w:tc>
        <w:tc>
          <w:tcPr>
            <w:tcW w:w="2386" w:type="dxa"/>
            <w:vMerge/>
            <w:tcBorders>
              <w:top w:val="single" w:sz="4" w:space="0" w:color="auto"/>
              <w:left w:val="single" w:sz="4" w:space="0" w:color="auto"/>
              <w:bottom w:val="single" w:sz="4" w:space="0" w:color="auto"/>
              <w:right w:val="single" w:sz="4" w:space="0" w:color="auto"/>
            </w:tcBorders>
            <w:shd w:val="clear" w:color="auto" w:fill="auto"/>
          </w:tcPr>
          <w:p w14:paraId="147EC879" w14:textId="77777777" w:rsidR="00CB3E5B" w:rsidRPr="009C31DE" w:rsidRDefault="00CB3E5B" w:rsidP="00DE6F35">
            <w:pPr>
              <w:widowControl w:val="0"/>
              <w:rPr>
                <w:color w:val="000000"/>
                <w:lang w:eastAsia="lt-LT"/>
              </w:rPr>
            </w:pPr>
          </w:p>
        </w:tc>
        <w:tc>
          <w:tcPr>
            <w:tcW w:w="8103" w:type="dxa"/>
            <w:vMerge/>
            <w:tcBorders>
              <w:top w:val="single" w:sz="4" w:space="0" w:color="auto"/>
              <w:left w:val="single" w:sz="4" w:space="0" w:color="auto"/>
              <w:bottom w:val="single" w:sz="4" w:space="0" w:color="auto"/>
              <w:right w:val="single" w:sz="4" w:space="0" w:color="auto"/>
            </w:tcBorders>
            <w:shd w:val="clear" w:color="auto" w:fill="auto"/>
          </w:tcPr>
          <w:p w14:paraId="5EDD8DD7" w14:textId="77777777" w:rsidR="00CB3E5B" w:rsidRPr="009C31DE" w:rsidRDefault="00CB3E5B" w:rsidP="00DE6F35">
            <w:pPr>
              <w:widowControl w:val="0"/>
              <w:jc w:val="both"/>
              <w:rPr>
                <w:color w:val="000000"/>
                <w:lang w:eastAsia="lt-LT"/>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749760AC" w14:textId="77777777" w:rsidR="00CB3E5B" w:rsidRPr="009C31DE" w:rsidRDefault="00CB3E5B" w:rsidP="00DE6F35">
            <w:pPr>
              <w:widowControl w:val="0"/>
              <w:rPr>
                <w:color w:val="000000"/>
                <w:lang w:eastAsia="lt-LT"/>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tcPr>
          <w:p w14:paraId="6E649214" w14:textId="77777777" w:rsidR="00CB3E5B" w:rsidRDefault="00CB3E5B" w:rsidP="00DE6F35">
            <w:pPr>
              <w:widowControl w:val="0"/>
              <w:rPr>
                <w:color w:val="000000"/>
                <w:lang w:eastAsia="lt-LT"/>
              </w:rPr>
            </w:pPr>
          </w:p>
        </w:tc>
      </w:tr>
      <w:tr w:rsidR="000D62EA" w:rsidRPr="009C31DE" w14:paraId="1C65BA7D" w14:textId="77777777" w:rsidTr="000D62EA">
        <w:trPr>
          <w:trHeight w:val="458"/>
        </w:trPr>
        <w:tc>
          <w:tcPr>
            <w:tcW w:w="710" w:type="dxa"/>
            <w:vMerge/>
            <w:tcBorders>
              <w:top w:val="single" w:sz="4" w:space="0" w:color="auto"/>
              <w:left w:val="single" w:sz="4" w:space="0" w:color="auto"/>
              <w:bottom w:val="single" w:sz="4" w:space="0" w:color="auto"/>
              <w:right w:val="single" w:sz="4" w:space="0" w:color="auto"/>
            </w:tcBorders>
            <w:shd w:val="clear" w:color="auto" w:fill="auto"/>
          </w:tcPr>
          <w:p w14:paraId="0387495C" w14:textId="77777777" w:rsidR="000D62EA" w:rsidRPr="009C31DE" w:rsidRDefault="000D62EA" w:rsidP="00DE6F35">
            <w:pPr>
              <w:widowControl w:val="0"/>
              <w:jc w:val="both"/>
              <w:rPr>
                <w:color w:val="000000"/>
                <w:lang w:eastAsia="lt-LT"/>
              </w:rPr>
            </w:pPr>
          </w:p>
        </w:tc>
        <w:tc>
          <w:tcPr>
            <w:tcW w:w="2386" w:type="dxa"/>
            <w:vMerge/>
            <w:tcBorders>
              <w:top w:val="single" w:sz="4" w:space="0" w:color="auto"/>
              <w:left w:val="single" w:sz="4" w:space="0" w:color="auto"/>
              <w:bottom w:val="single" w:sz="4" w:space="0" w:color="auto"/>
              <w:right w:val="single" w:sz="4" w:space="0" w:color="auto"/>
            </w:tcBorders>
            <w:shd w:val="clear" w:color="auto" w:fill="auto"/>
          </w:tcPr>
          <w:p w14:paraId="7816118E" w14:textId="77777777" w:rsidR="000D62EA" w:rsidRPr="009C31DE" w:rsidRDefault="000D62EA" w:rsidP="00DE6F35">
            <w:pPr>
              <w:widowControl w:val="0"/>
              <w:rPr>
                <w:color w:val="000000"/>
                <w:lang w:eastAsia="lt-LT"/>
              </w:rPr>
            </w:pPr>
          </w:p>
        </w:tc>
        <w:tc>
          <w:tcPr>
            <w:tcW w:w="8103" w:type="dxa"/>
            <w:vMerge/>
            <w:tcBorders>
              <w:top w:val="single" w:sz="4" w:space="0" w:color="auto"/>
              <w:left w:val="single" w:sz="4" w:space="0" w:color="auto"/>
              <w:bottom w:val="single" w:sz="4" w:space="0" w:color="auto"/>
              <w:right w:val="single" w:sz="4" w:space="0" w:color="auto"/>
            </w:tcBorders>
            <w:shd w:val="clear" w:color="auto" w:fill="auto"/>
          </w:tcPr>
          <w:p w14:paraId="01AC6B34" w14:textId="77777777" w:rsidR="000D62EA" w:rsidRPr="009C31DE" w:rsidRDefault="000D62EA" w:rsidP="00DE6F35">
            <w:pPr>
              <w:widowControl w:val="0"/>
              <w:jc w:val="both"/>
              <w:rPr>
                <w:color w:val="000000"/>
                <w:lang w:eastAsia="lt-LT"/>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E994BAF" w14:textId="77777777" w:rsidR="000D62EA" w:rsidRPr="009C31DE" w:rsidRDefault="000D62EA" w:rsidP="00DE6F35">
            <w:pPr>
              <w:widowControl w:val="0"/>
              <w:rPr>
                <w:color w:val="000000"/>
                <w:lang w:eastAsia="lt-LT"/>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tcPr>
          <w:p w14:paraId="69F94F57" w14:textId="77777777" w:rsidR="000D62EA" w:rsidRDefault="000D62EA" w:rsidP="00DE6F35">
            <w:pPr>
              <w:widowControl w:val="0"/>
              <w:rPr>
                <w:color w:val="000000"/>
                <w:lang w:eastAsia="lt-LT"/>
              </w:rPr>
            </w:pPr>
          </w:p>
        </w:tc>
      </w:tr>
      <w:tr w:rsidR="000D62EA" w:rsidRPr="009C31DE" w14:paraId="21299B95" w14:textId="77777777" w:rsidTr="000D62EA">
        <w:trPr>
          <w:trHeight w:val="458"/>
        </w:trPr>
        <w:tc>
          <w:tcPr>
            <w:tcW w:w="710" w:type="dxa"/>
            <w:vMerge/>
            <w:tcBorders>
              <w:top w:val="single" w:sz="4" w:space="0" w:color="auto"/>
              <w:left w:val="single" w:sz="4" w:space="0" w:color="auto"/>
              <w:bottom w:val="single" w:sz="4" w:space="0" w:color="auto"/>
              <w:right w:val="single" w:sz="4" w:space="0" w:color="auto"/>
            </w:tcBorders>
            <w:shd w:val="clear" w:color="auto" w:fill="auto"/>
          </w:tcPr>
          <w:p w14:paraId="24612EEC" w14:textId="77777777" w:rsidR="000D62EA" w:rsidRPr="009C31DE" w:rsidRDefault="000D62EA" w:rsidP="00DE6F35">
            <w:pPr>
              <w:widowControl w:val="0"/>
              <w:jc w:val="both"/>
              <w:rPr>
                <w:color w:val="000000"/>
                <w:lang w:eastAsia="lt-LT"/>
              </w:rPr>
            </w:pPr>
          </w:p>
        </w:tc>
        <w:tc>
          <w:tcPr>
            <w:tcW w:w="2386" w:type="dxa"/>
            <w:vMerge/>
            <w:tcBorders>
              <w:top w:val="single" w:sz="4" w:space="0" w:color="auto"/>
              <w:left w:val="single" w:sz="4" w:space="0" w:color="auto"/>
              <w:bottom w:val="single" w:sz="4" w:space="0" w:color="auto"/>
              <w:right w:val="single" w:sz="4" w:space="0" w:color="auto"/>
            </w:tcBorders>
            <w:shd w:val="clear" w:color="auto" w:fill="auto"/>
          </w:tcPr>
          <w:p w14:paraId="3F51C82F" w14:textId="77777777" w:rsidR="000D62EA" w:rsidRPr="009C31DE" w:rsidRDefault="000D62EA" w:rsidP="00DE6F35">
            <w:pPr>
              <w:widowControl w:val="0"/>
              <w:rPr>
                <w:color w:val="000000"/>
                <w:lang w:eastAsia="lt-LT"/>
              </w:rPr>
            </w:pPr>
          </w:p>
        </w:tc>
        <w:tc>
          <w:tcPr>
            <w:tcW w:w="8103" w:type="dxa"/>
            <w:vMerge/>
            <w:tcBorders>
              <w:top w:val="single" w:sz="4" w:space="0" w:color="auto"/>
              <w:left w:val="single" w:sz="4" w:space="0" w:color="auto"/>
              <w:bottom w:val="single" w:sz="4" w:space="0" w:color="auto"/>
              <w:right w:val="single" w:sz="4" w:space="0" w:color="auto"/>
            </w:tcBorders>
            <w:shd w:val="clear" w:color="auto" w:fill="auto"/>
          </w:tcPr>
          <w:p w14:paraId="3F79929C" w14:textId="77777777" w:rsidR="000D62EA" w:rsidRPr="009C31DE" w:rsidRDefault="000D62EA" w:rsidP="00DE6F35">
            <w:pPr>
              <w:widowControl w:val="0"/>
              <w:jc w:val="both"/>
              <w:rPr>
                <w:color w:val="000000"/>
                <w:lang w:eastAsia="lt-LT"/>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5FA34DA" w14:textId="77777777" w:rsidR="000D62EA" w:rsidRPr="009C31DE" w:rsidRDefault="000D62EA" w:rsidP="00DE6F35">
            <w:pPr>
              <w:widowControl w:val="0"/>
              <w:rPr>
                <w:color w:val="000000"/>
                <w:lang w:eastAsia="lt-LT"/>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tcPr>
          <w:p w14:paraId="5ACA624A" w14:textId="77777777" w:rsidR="000D62EA" w:rsidRDefault="000D62EA" w:rsidP="00DE6F35">
            <w:pPr>
              <w:widowControl w:val="0"/>
              <w:rPr>
                <w:color w:val="000000"/>
                <w:lang w:eastAsia="lt-LT"/>
              </w:rPr>
            </w:pPr>
          </w:p>
        </w:tc>
      </w:tr>
      <w:tr w:rsidR="000D62EA" w:rsidRPr="009C31DE" w14:paraId="14F3747B" w14:textId="77777777" w:rsidTr="00202929">
        <w:trPr>
          <w:trHeight w:val="276"/>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E97CE5" w14:textId="77777777" w:rsidR="000D62EA" w:rsidRPr="009C31DE" w:rsidRDefault="000D62EA" w:rsidP="008F7DF6">
            <w:pPr>
              <w:widowControl w:val="0"/>
              <w:jc w:val="both"/>
              <w:rPr>
                <w:color w:val="000000"/>
                <w:lang w:eastAsia="lt-LT"/>
              </w:rPr>
            </w:pPr>
            <w:r w:rsidRPr="009C31DE">
              <w:rPr>
                <w:color w:val="000000"/>
                <w:lang w:eastAsia="lt-LT"/>
              </w:rPr>
              <w:t>7.</w:t>
            </w:r>
          </w:p>
        </w:tc>
        <w:tc>
          <w:tcPr>
            <w:tcW w:w="23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693BC1" w14:textId="77777777" w:rsidR="000D62EA" w:rsidRPr="009C31DE" w:rsidRDefault="000D62EA" w:rsidP="008F7DF6">
            <w:pPr>
              <w:widowControl w:val="0"/>
              <w:rPr>
                <w:color w:val="000000"/>
                <w:lang w:eastAsia="lt-LT"/>
              </w:rPr>
            </w:pPr>
            <w:r w:rsidRPr="009C31DE">
              <w:rPr>
                <w:color w:val="000000"/>
                <w:lang w:eastAsia="lt-LT"/>
              </w:rPr>
              <w:t>Parengti siūlymus dėl biudžetinių įstaigų bendrųjų funkcijų centralizavimo</w:t>
            </w:r>
          </w:p>
        </w:tc>
        <w:tc>
          <w:tcPr>
            <w:tcW w:w="81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26176E" w14:textId="77777777" w:rsidR="000D62EA" w:rsidRPr="009C31DE" w:rsidRDefault="000D62EA" w:rsidP="008F7DF6">
            <w:pPr>
              <w:widowControl w:val="0"/>
              <w:jc w:val="both"/>
              <w:rPr>
                <w:color w:val="000000"/>
                <w:lang w:eastAsia="lt-LT"/>
              </w:rPr>
            </w:pPr>
            <w:r w:rsidRPr="009C31DE">
              <w:rPr>
                <w:color w:val="000000"/>
                <w:lang w:eastAsia="lt-LT"/>
              </w:rPr>
              <w:t>2009</w:t>
            </w:r>
            <w:r>
              <w:rPr>
                <w:color w:val="000000"/>
                <w:lang w:eastAsia="lt-LT"/>
              </w:rPr>
              <w:t>–</w:t>
            </w:r>
            <w:r w:rsidRPr="009C31DE">
              <w:rPr>
                <w:color w:val="000000"/>
                <w:lang w:eastAsia="lt-LT"/>
              </w:rPr>
              <w:t>2010 m. centralizavus biudžetinių įstaigų buhalterinę apskaitą, biudžetinėse įstaigose buhalterinės apskaitos darbuotojų sumažėjo 5 kartus, tačiau įstaigose vis tiek išliko atskiros darbuotojų, kurie tiesiogiai atlieka ekonominio planavimo ir pirminės apskaitos funkcijas, pareigybės (35 etatai). Kai kuriose mažesnėse įstaigose darbuotojai atlieka šias funkcijas netiesiogiai (pvz., kaip raštinės administratoriai), tokių pareigybių yra 77 etatai. Įstaigose pareigybės, susijusios su ekonominiu planavim</w:t>
            </w:r>
            <w:r>
              <w:rPr>
                <w:color w:val="000000"/>
                <w:lang w:eastAsia="lt-LT"/>
              </w:rPr>
              <w:t>u</w:t>
            </w:r>
            <w:r w:rsidRPr="009C31DE">
              <w:rPr>
                <w:color w:val="000000"/>
                <w:lang w:eastAsia="lt-LT"/>
              </w:rPr>
              <w:t xml:space="preserve"> bei apskaita, yra išlikusios dėl mažo procesų brandos lygio, mažo administracijų finansinio raštingumo, didelio mažų įstaigų skaičiaus.</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5DB945" w14:textId="77777777" w:rsidR="000D62EA" w:rsidRPr="009C31DE" w:rsidRDefault="000D62EA" w:rsidP="008F7DF6">
            <w:pPr>
              <w:widowControl w:val="0"/>
              <w:rPr>
                <w:color w:val="000000"/>
                <w:lang w:eastAsia="lt-LT"/>
              </w:rPr>
            </w:pPr>
            <w:r w:rsidRPr="009C31DE">
              <w:rPr>
                <w:color w:val="000000"/>
                <w:lang w:eastAsia="lt-LT"/>
              </w:rPr>
              <w:t xml:space="preserve">Vyriausioji patarėja </w:t>
            </w:r>
            <w:r w:rsidRPr="001D0E9F">
              <w:rPr>
                <w:strike/>
                <w:color w:val="000000"/>
                <w:lang w:eastAsia="lt-LT"/>
              </w:rPr>
              <w:t>A. Špučienė</w:t>
            </w:r>
            <w:r>
              <w:rPr>
                <w:color w:val="000000"/>
                <w:lang w:eastAsia="lt-LT"/>
              </w:rPr>
              <w:t xml:space="preserve"> </w:t>
            </w:r>
            <w:r w:rsidRPr="001D0E9F">
              <w:rPr>
                <w:color w:val="000000"/>
                <w:highlight w:val="yellow"/>
                <w:lang w:eastAsia="lt-LT"/>
              </w:rPr>
              <w:t>S. Tamašauskienė,</w:t>
            </w:r>
            <w:r w:rsidRPr="009C31DE">
              <w:rPr>
                <w:color w:val="000000"/>
                <w:lang w:eastAsia="lt-LT"/>
              </w:rPr>
              <w:t xml:space="preserve"> Informacinių technologijų skyrius, Biudžetinių įstaigų </w:t>
            </w:r>
            <w:proofErr w:type="spellStart"/>
            <w:r w:rsidRPr="009C31DE">
              <w:rPr>
                <w:color w:val="000000"/>
                <w:lang w:eastAsia="lt-LT"/>
              </w:rPr>
              <w:t>centralizuo</w:t>
            </w:r>
            <w:proofErr w:type="spellEnd"/>
            <w:r>
              <w:rPr>
                <w:color w:val="000000"/>
                <w:lang w:eastAsia="lt-LT"/>
              </w:rPr>
              <w:t>-</w:t>
            </w:r>
            <w:r w:rsidRPr="009C31DE">
              <w:rPr>
                <w:color w:val="000000"/>
                <w:lang w:eastAsia="lt-LT"/>
              </w:rPr>
              <w:t xml:space="preserve">tos apskaitos skyrius </w:t>
            </w:r>
            <w:r>
              <w:rPr>
                <w:color w:val="000000"/>
                <w:lang w:eastAsia="lt-LT"/>
              </w:rPr>
              <w:t>(toliau – BĮCAS), Planavimo ir analizės skyrius</w:t>
            </w:r>
          </w:p>
        </w:tc>
        <w:tc>
          <w:tcPr>
            <w:tcW w:w="2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994B87" w14:textId="77777777" w:rsidR="000D62EA" w:rsidRPr="009C31DE" w:rsidRDefault="000D62EA" w:rsidP="008F7DF6">
            <w:pPr>
              <w:widowControl w:val="0"/>
              <w:rPr>
                <w:color w:val="000000"/>
                <w:lang w:eastAsia="lt-LT"/>
              </w:rPr>
            </w:pPr>
            <w:r>
              <w:rPr>
                <w:color w:val="000000"/>
                <w:lang w:eastAsia="lt-LT"/>
              </w:rPr>
              <w:t>I</w:t>
            </w:r>
            <w:r w:rsidRPr="009C31DE">
              <w:rPr>
                <w:color w:val="000000"/>
                <w:lang w:eastAsia="lt-LT"/>
              </w:rPr>
              <w:t>ki 2022-12-31</w:t>
            </w:r>
            <w:r>
              <w:rPr>
                <w:color w:val="000000"/>
                <w:lang w:eastAsia="lt-LT"/>
              </w:rPr>
              <w:t xml:space="preserve"> </w:t>
            </w:r>
            <w:r w:rsidRPr="009C31DE">
              <w:rPr>
                <w:color w:val="000000"/>
                <w:lang w:eastAsia="lt-LT"/>
              </w:rPr>
              <w:t xml:space="preserve">įgyvendintas </w:t>
            </w:r>
            <w:r>
              <w:rPr>
                <w:color w:val="000000"/>
                <w:lang w:eastAsia="lt-LT"/>
              </w:rPr>
              <w:t>b</w:t>
            </w:r>
            <w:r w:rsidRPr="009C31DE">
              <w:rPr>
                <w:color w:val="000000"/>
                <w:lang w:eastAsia="lt-LT"/>
              </w:rPr>
              <w:t>iudžetinių įstaigų veiklos planavimo ir apskaitos pertvarkymo planas</w:t>
            </w:r>
            <w:r>
              <w:rPr>
                <w:color w:val="000000"/>
                <w:lang w:eastAsia="lt-LT"/>
              </w:rPr>
              <w:t>.</w:t>
            </w:r>
            <w:r w:rsidRPr="009C31DE">
              <w:rPr>
                <w:color w:val="000000"/>
                <w:lang w:eastAsia="lt-LT"/>
              </w:rPr>
              <w:t xml:space="preserve"> </w:t>
            </w:r>
          </w:p>
        </w:tc>
      </w:tr>
      <w:tr w:rsidR="008579DA" w:rsidRPr="009C31DE" w14:paraId="7BBF3ECC" w14:textId="77777777" w:rsidTr="008F506C">
        <w:trPr>
          <w:trHeight w:val="20"/>
        </w:trPr>
        <w:tc>
          <w:tcPr>
            <w:tcW w:w="710" w:type="dxa"/>
            <w:tcBorders>
              <w:top w:val="single" w:sz="4" w:space="0" w:color="auto"/>
              <w:left w:val="single" w:sz="4" w:space="0" w:color="auto"/>
              <w:right w:val="single" w:sz="4" w:space="0" w:color="auto"/>
            </w:tcBorders>
            <w:shd w:val="clear" w:color="auto" w:fill="auto"/>
            <w:hideMark/>
          </w:tcPr>
          <w:p w14:paraId="3D1043CD" w14:textId="1A59B0BD" w:rsidR="008579DA" w:rsidRPr="009C31DE" w:rsidRDefault="008579DA" w:rsidP="008579DA">
            <w:pPr>
              <w:widowControl w:val="0"/>
              <w:jc w:val="center"/>
              <w:rPr>
                <w:color w:val="000000"/>
                <w:lang w:eastAsia="lt-LT"/>
              </w:rPr>
            </w:pPr>
            <w:r w:rsidRPr="009C31DE">
              <w:rPr>
                <w:color w:val="000000"/>
                <w:lang w:eastAsia="lt-LT"/>
              </w:rPr>
              <w:t>12.</w:t>
            </w:r>
          </w:p>
        </w:tc>
        <w:tc>
          <w:tcPr>
            <w:tcW w:w="2386" w:type="dxa"/>
            <w:tcBorders>
              <w:top w:val="single" w:sz="4" w:space="0" w:color="auto"/>
              <w:left w:val="single" w:sz="4" w:space="0" w:color="auto"/>
              <w:right w:val="nil"/>
            </w:tcBorders>
            <w:shd w:val="clear" w:color="auto" w:fill="auto"/>
            <w:hideMark/>
          </w:tcPr>
          <w:p w14:paraId="3405F6E0" w14:textId="4A9F6733" w:rsidR="008579DA" w:rsidRPr="009C31DE" w:rsidRDefault="008579DA" w:rsidP="008579DA">
            <w:pPr>
              <w:widowControl w:val="0"/>
              <w:rPr>
                <w:color w:val="000000"/>
                <w:lang w:eastAsia="lt-LT"/>
              </w:rPr>
            </w:pPr>
            <w:r w:rsidRPr="009C31DE">
              <w:rPr>
                <w:color w:val="000000"/>
                <w:lang w:eastAsia="lt-LT"/>
              </w:rPr>
              <w:t>Parengti siūlymus dėl viešųjų sveikatos priežiūros įstaigų veiklos optimizavimo ir paslaugų kokybės gerinimo</w:t>
            </w:r>
          </w:p>
        </w:tc>
        <w:tc>
          <w:tcPr>
            <w:tcW w:w="8103" w:type="dxa"/>
            <w:tcBorders>
              <w:top w:val="single" w:sz="4" w:space="0" w:color="auto"/>
              <w:left w:val="single" w:sz="4" w:space="0" w:color="auto"/>
              <w:right w:val="single" w:sz="4" w:space="0" w:color="auto"/>
            </w:tcBorders>
            <w:shd w:val="clear" w:color="auto" w:fill="auto"/>
            <w:hideMark/>
          </w:tcPr>
          <w:p w14:paraId="63DCBC53" w14:textId="1DFD2F98" w:rsidR="008579DA" w:rsidRPr="009C31DE" w:rsidRDefault="008579DA" w:rsidP="008579DA">
            <w:pPr>
              <w:widowControl w:val="0"/>
              <w:jc w:val="both"/>
              <w:rPr>
                <w:lang w:eastAsia="lt-LT"/>
              </w:rPr>
            </w:pPr>
            <w:r w:rsidRPr="009C31DE">
              <w:rPr>
                <w:lang w:eastAsia="lt-LT"/>
              </w:rPr>
              <w:t xml:space="preserve">Išnagrinėjus Klaipėdos universitetinės ligoninės paslaugų plėtros ir materialinės bazės sutvarkymo perspektyvas, išanalizavus Lietuvoje vykdytų panašių galimybės studijų viešuosius pirkimus laimėjusių tiekėjų siūlytas kainas, parengtas 2020-06-23 raštas Nr. VS-3693, prašant įtraukti į Strateginį </w:t>
            </w:r>
            <w:r>
              <w:rPr>
                <w:lang w:eastAsia="lt-LT"/>
              </w:rPr>
              <w:t xml:space="preserve">veiklos </w:t>
            </w:r>
            <w:r w:rsidRPr="009C31DE">
              <w:rPr>
                <w:lang w:eastAsia="lt-LT"/>
              </w:rPr>
              <w:t>planą naują priemonę „Galimybių studijos dėl Klaipėdos miesto asmens sveikatos priežiūros įstaigų darbo optimizavimo ir perspektyvos (gairių)  iki 2050 m. nustatymo parengimas“ bei skirti jos įgyvendinimui papildomas lėšas. Priemonė įtraukta į 2021</w:t>
            </w:r>
            <w:r>
              <w:rPr>
                <w:lang w:eastAsia="lt-LT"/>
              </w:rPr>
              <w:t>–</w:t>
            </w:r>
            <w:r w:rsidRPr="009C31DE">
              <w:rPr>
                <w:lang w:eastAsia="lt-LT"/>
              </w:rPr>
              <w:t xml:space="preserve">2023 m. </w:t>
            </w:r>
            <w:r>
              <w:rPr>
                <w:lang w:eastAsia="lt-LT"/>
              </w:rPr>
              <w:t>S</w:t>
            </w:r>
            <w:r w:rsidRPr="009C31DE">
              <w:rPr>
                <w:lang w:eastAsia="lt-LT"/>
              </w:rPr>
              <w:t>trategin</w:t>
            </w:r>
            <w:r>
              <w:rPr>
                <w:lang w:eastAsia="lt-LT"/>
              </w:rPr>
              <w:t>io</w:t>
            </w:r>
            <w:r w:rsidRPr="009C31DE">
              <w:rPr>
                <w:lang w:eastAsia="lt-LT"/>
              </w:rPr>
              <w:t xml:space="preserve"> veiklos plano projektą. </w:t>
            </w:r>
            <w:r>
              <w:rPr>
                <w:lang w:eastAsia="lt-LT"/>
              </w:rPr>
              <w:t>KMSA</w:t>
            </w:r>
            <w:r w:rsidRPr="009C31DE">
              <w:rPr>
                <w:lang w:eastAsia="lt-LT"/>
              </w:rPr>
              <w:t xml:space="preserve"> direktoriaus  2020-06-01 įsakymu Nr. AD1-696 sudaryta darbo grupė Klaipėdos universitetinės ligoninės modernizavimo ilgalaikės programos iki 2030 m. priemonių planui parengti.</w:t>
            </w:r>
          </w:p>
        </w:tc>
        <w:tc>
          <w:tcPr>
            <w:tcW w:w="1559" w:type="dxa"/>
            <w:tcBorders>
              <w:top w:val="single" w:sz="4" w:space="0" w:color="auto"/>
              <w:left w:val="nil"/>
              <w:right w:val="single" w:sz="4" w:space="0" w:color="000000"/>
            </w:tcBorders>
            <w:shd w:val="clear" w:color="auto" w:fill="auto"/>
            <w:hideMark/>
          </w:tcPr>
          <w:p w14:paraId="2631AAE6" w14:textId="7A03055E" w:rsidR="008579DA" w:rsidRPr="009C31DE" w:rsidRDefault="008579DA" w:rsidP="008579DA">
            <w:pPr>
              <w:widowControl w:val="0"/>
              <w:rPr>
                <w:color w:val="000000"/>
                <w:lang w:eastAsia="lt-LT"/>
              </w:rPr>
            </w:pPr>
            <w:r w:rsidRPr="009C31DE">
              <w:rPr>
                <w:color w:val="000000"/>
                <w:lang w:eastAsia="lt-LT"/>
              </w:rPr>
              <w:t>Sveikatos apsaugos skyrius</w:t>
            </w:r>
            <w:r>
              <w:rPr>
                <w:color w:val="000000"/>
                <w:lang w:eastAsia="lt-LT"/>
              </w:rPr>
              <w:t>, v</w:t>
            </w:r>
            <w:r w:rsidRPr="009C31DE">
              <w:rPr>
                <w:color w:val="000000"/>
                <w:lang w:eastAsia="lt-LT"/>
              </w:rPr>
              <w:t xml:space="preserve">yriausioji patarėja </w:t>
            </w:r>
            <w:r w:rsidRPr="000D62EA">
              <w:rPr>
                <w:color w:val="000000"/>
                <w:lang w:eastAsia="lt-LT"/>
              </w:rPr>
              <w:t xml:space="preserve">S. </w:t>
            </w:r>
            <w:proofErr w:type="spellStart"/>
            <w:r w:rsidRPr="000D62EA">
              <w:rPr>
                <w:color w:val="000000"/>
                <w:lang w:eastAsia="lt-LT"/>
              </w:rPr>
              <w:t>Tamašauskie</w:t>
            </w:r>
            <w:proofErr w:type="spellEnd"/>
            <w:r w:rsidR="00202929">
              <w:rPr>
                <w:color w:val="000000"/>
                <w:lang w:eastAsia="lt-LT"/>
              </w:rPr>
              <w:t>-</w:t>
            </w:r>
            <w:r w:rsidRPr="000D62EA">
              <w:rPr>
                <w:color w:val="000000"/>
                <w:lang w:eastAsia="lt-LT"/>
              </w:rPr>
              <w:t>nė</w:t>
            </w:r>
          </w:p>
        </w:tc>
        <w:tc>
          <w:tcPr>
            <w:tcW w:w="2836" w:type="dxa"/>
            <w:tcBorders>
              <w:top w:val="single" w:sz="4" w:space="0" w:color="auto"/>
              <w:left w:val="nil"/>
              <w:right w:val="single" w:sz="4" w:space="0" w:color="auto"/>
            </w:tcBorders>
            <w:shd w:val="clear" w:color="auto" w:fill="auto"/>
            <w:hideMark/>
          </w:tcPr>
          <w:p w14:paraId="5A75FEDD" w14:textId="788E19E1" w:rsidR="008579DA" w:rsidRPr="009C31DE" w:rsidRDefault="008579DA" w:rsidP="008579DA">
            <w:pPr>
              <w:widowControl w:val="0"/>
              <w:rPr>
                <w:color w:val="000000"/>
                <w:lang w:eastAsia="lt-LT"/>
              </w:rPr>
            </w:pPr>
            <w:r w:rsidRPr="009C31DE">
              <w:rPr>
                <w:color w:val="000000"/>
                <w:lang w:eastAsia="lt-LT"/>
              </w:rPr>
              <w:t xml:space="preserve">1) </w:t>
            </w:r>
            <w:r>
              <w:rPr>
                <w:color w:val="000000"/>
                <w:lang w:eastAsia="lt-LT"/>
              </w:rPr>
              <w:t>I</w:t>
            </w:r>
            <w:r w:rsidRPr="009C31DE">
              <w:rPr>
                <w:color w:val="000000"/>
                <w:lang w:eastAsia="lt-LT"/>
              </w:rPr>
              <w:t xml:space="preserve">ki 2021-07-01 </w:t>
            </w:r>
            <w:r>
              <w:rPr>
                <w:color w:val="000000"/>
                <w:lang w:eastAsia="lt-LT"/>
              </w:rPr>
              <w:t>p</w:t>
            </w:r>
            <w:r w:rsidRPr="009C31DE">
              <w:rPr>
                <w:color w:val="000000"/>
                <w:lang w:eastAsia="lt-LT"/>
              </w:rPr>
              <w:t>arengtas Klaipėdos universitetinės ligoninės modernizavimo ilgalaikės programos iki 2030 m. priemonių planas</w:t>
            </w:r>
            <w:r>
              <w:rPr>
                <w:color w:val="000000"/>
                <w:lang w:eastAsia="lt-LT"/>
              </w:rPr>
              <w:t>.</w:t>
            </w:r>
            <w:r w:rsidRPr="009C31DE">
              <w:rPr>
                <w:color w:val="000000"/>
                <w:lang w:eastAsia="lt-LT"/>
              </w:rPr>
              <w:t xml:space="preserve"> </w:t>
            </w:r>
          </w:p>
        </w:tc>
      </w:tr>
      <w:tr w:rsidR="008579DA" w:rsidRPr="009C31DE" w14:paraId="1906B1AE" w14:textId="77777777" w:rsidTr="00A26A6F">
        <w:trPr>
          <w:trHeight w:val="20"/>
        </w:trPr>
        <w:tc>
          <w:tcPr>
            <w:tcW w:w="710" w:type="dxa"/>
            <w:tcBorders>
              <w:left w:val="single" w:sz="4" w:space="0" w:color="auto"/>
              <w:bottom w:val="single" w:sz="4" w:space="0" w:color="auto"/>
              <w:right w:val="single" w:sz="4" w:space="0" w:color="auto"/>
            </w:tcBorders>
            <w:shd w:val="clear" w:color="auto" w:fill="auto"/>
            <w:vAlign w:val="center"/>
          </w:tcPr>
          <w:p w14:paraId="76F31033" w14:textId="77777777" w:rsidR="008579DA" w:rsidRPr="009C31DE" w:rsidRDefault="008579DA" w:rsidP="008579DA">
            <w:pPr>
              <w:widowControl w:val="0"/>
              <w:jc w:val="center"/>
              <w:rPr>
                <w:color w:val="000000"/>
                <w:lang w:eastAsia="lt-LT"/>
              </w:rPr>
            </w:pPr>
          </w:p>
        </w:tc>
        <w:tc>
          <w:tcPr>
            <w:tcW w:w="2386" w:type="dxa"/>
            <w:tcBorders>
              <w:left w:val="single" w:sz="4" w:space="0" w:color="auto"/>
              <w:bottom w:val="single" w:sz="4" w:space="0" w:color="auto"/>
              <w:right w:val="nil"/>
            </w:tcBorders>
            <w:shd w:val="clear" w:color="auto" w:fill="auto"/>
            <w:vAlign w:val="center"/>
          </w:tcPr>
          <w:p w14:paraId="65C160A6" w14:textId="77777777" w:rsidR="008579DA" w:rsidRPr="009C31DE" w:rsidRDefault="008579DA" w:rsidP="008579DA">
            <w:pPr>
              <w:widowControl w:val="0"/>
              <w:rPr>
                <w:color w:val="000000"/>
                <w:lang w:eastAsia="lt-LT"/>
              </w:rPr>
            </w:pPr>
          </w:p>
        </w:tc>
        <w:tc>
          <w:tcPr>
            <w:tcW w:w="8103" w:type="dxa"/>
            <w:tcBorders>
              <w:left w:val="single" w:sz="4" w:space="0" w:color="auto"/>
              <w:bottom w:val="single" w:sz="4" w:space="0" w:color="auto"/>
              <w:right w:val="single" w:sz="4" w:space="0" w:color="auto"/>
            </w:tcBorders>
            <w:shd w:val="clear" w:color="auto" w:fill="auto"/>
          </w:tcPr>
          <w:p w14:paraId="46A59E57" w14:textId="229BFCD1" w:rsidR="008579DA" w:rsidRPr="009C31DE" w:rsidRDefault="008579DA" w:rsidP="008579DA">
            <w:pPr>
              <w:widowControl w:val="0"/>
              <w:jc w:val="both"/>
              <w:rPr>
                <w:lang w:eastAsia="lt-LT"/>
              </w:rPr>
            </w:pPr>
            <w:r w:rsidRPr="009C31DE">
              <w:rPr>
                <w:color w:val="000000"/>
                <w:lang w:eastAsia="lt-LT"/>
              </w:rPr>
              <w:t>Planuojama peržiūrėti kitų viešųjų įstaigų – pirminės sveikatos priežiūros centrų veiklas, ieškant veiklos optimizavimo galimybių.</w:t>
            </w:r>
          </w:p>
        </w:tc>
        <w:tc>
          <w:tcPr>
            <w:tcW w:w="1559" w:type="dxa"/>
            <w:tcBorders>
              <w:left w:val="nil"/>
              <w:bottom w:val="single" w:sz="4" w:space="0" w:color="auto"/>
              <w:right w:val="single" w:sz="4" w:space="0" w:color="000000"/>
            </w:tcBorders>
            <w:shd w:val="clear" w:color="auto" w:fill="auto"/>
            <w:vAlign w:val="center"/>
          </w:tcPr>
          <w:p w14:paraId="5AB847DF" w14:textId="77777777" w:rsidR="008579DA" w:rsidRPr="009C31DE" w:rsidRDefault="008579DA" w:rsidP="008579DA">
            <w:pPr>
              <w:widowControl w:val="0"/>
              <w:rPr>
                <w:color w:val="000000"/>
                <w:lang w:eastAsia="lt-LT"/>
              </w:rPr>
            </w:pPr>
          </w:p>
        </w:tc>
        <w:tc>
          <w:tcPr>
            <w:tcW w:w="2836" w:type="dxa"/>
            <w:tcBorders>
              <w:left w:val="nil"/>
              <w:bottom w:val="single" w:sz="4" w:space="0" w:color="auto"/>
              <w:right w:val="single" w:sz="4" w:space="0" w:color="auto"/>
            </w:tcBorders>
            <w:shd w:val="clear" w:color="auto" w:fill="auto"/>
          </w:tcPr>
          <w:p w14:paraId="6AAA0ECD" w14:textId="5D2BE4C7" w:rsidR="008579DA" w:rsidRPr="009C31DE" w:rsidRDefault="008579DA" w:rsidP="008579DA">
            <w:pPr>
              <w:widowControl w:val="0"/>
              <w:rPr>
                <w:color w:val="000000"/>
                <w:lang w:eastAsia="lt-LT"/>
              </w:rPr>
            </w:pPr>
            <w:r w:rsidRPr="009C31DE">
              <w:rPr>
                <w:color w:val="000000"/>
                <w:lang w:eastAsia="lt-LT"/>
              </w:rPr>
              <w:t xml:space="preserve">2) </w:t>
            </w:r>
            <w:r>
              <w:rPr>
                <w:color w:val="000000"/>
                <w:lang w:eastAsia="lt-LT"/>
              </w:rPr>
              <w:t>I</w:t>
            </w:r>
            <w:r w:rsidRPr="009C31DE">
              <w:rPr>
                <w:color w:val="000000"/>
                <w:lang w:eastAsia="lt-LT"/>
              </w:rPr>
              <w:t>ki 2022-12-31</w:t>
            </w:r>
            <w:r>
              <w:rPr>
                <w:color w:val="000000"/>
                <w:lang w:eastAsia="lt-LT"/>
              </w:rPr>
              <w:t xml:space="preserve"> a</w:t>
            </w:r>
            <w:r w:rsidRPr="009C31DE">
              <w:rPr>
                <w:color w:val="000000"/>
                <w:lang w:eastAsia="lt-LT"/>
              </w:rPr>
              <w:t xml:space="preserve">tlikta analizė ir parengti siūlymai dėl pirminės sveikatos priežiūros centrų veiklos optimizavimo galimybių. </w:t>
            </w:r>
          </w:p>
        </w:tc>
      </w:tr>
    </w:tbl>
    <w:p w14:paraId="7E93AB8A" w14:textId="77777777" w:rsidR="008579DA" w:rsidRDefault="008579DA" w:rsidP="00923A6C">
      <w:pPr>
        <w:jc w:val="center"/>
      </w:pPr>
    </w:p>
    <w:p w14:paraId="46368D94" w14:textId="256714BF" w:rsidR="00923A6C" w:rsidRDefault="00923A6C" w:rsidP="00923A6C">
      <w:pPr>
        <w:jc w:val="center"/>
      </w:pPr>
      <w:r>
        <w:t>–––––––––––––––––––––––––––––</w:t>
      </w:r>
    </w:p>
    <w:sectPr w:rsidR="00923A6C" w:rsidSect="004135D3">
      <w:headerReference w:type="default" r:id="rId6"/>
      <w:pgSz w:w="16838" w:h="11906" w:orient="landscape" w:code="9"/>
      <w:pgMar w:top="1701" w:right="1134"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12425" w14:textId="77777777" w:rsidR="00E928FF" w:rsidRDefault="00E928FF" w:rsidP="00E928FF">
      <w:r>
        <w:separator/>
      </w:r>
    </w:p>
  </w:endnote>
  <w:endnote w:type="continuationSeparator" w:id="0">
    <w:p w14:paraId="48D3F875" w14:textId="77777777" w:rsidR="00E928FF" w:rsidRDefault="00E928FF" w:rsidP="00E9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2B294" w14:textId="77777777" w:rsidR="00E928FF" w:rsidRDefault="00E928FF" w:rsidP="00E928FF">
      <w:r>
        <w:separator/>
      </w:r>
    </w:p>
  </w:footnote>
  <w:footnote w:type="continuationSeparator" w:id="0">
    <w:p w14:paraId="019E9C4A" w14:textId="77777777" w:rsidR="00E928FF" w:rsidRDefault="00E928FF" w:rsidP="00E92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245117"/>
      <w:docPartObj>
        <w:docPartGallery w:val="Page Numbers (Top of Page)"/>
        <w:docPartUnique/>
      </w:docPartObj>
    </w:sdtPr>
    <w:sdtEndPr/>
    <w:sdtContent>
      <w:p w14:paraId="2DBFB12F" w14:textId="5BDAE048" w:rsidR="00E928FF" w:rsidRDefault="00E928FF">
        <w:pPr>
          <w:pStyle w:val="Antrats"/>
          <w:jc w:val="center"/>
        </w:pPr>
        <w:r>
          <w:fldChar w:fldCharType="begin"/>
        </w:r>
        <w:r>
          <w:instrText>PAGE   \* MERGEFORMAT</w:instrText>
        </w:r>
        <w:r>
          <w:fldChar w:fldCharType="separate"/>
        </w:r>
        <w:r w:rsidR="007D369B">
          <w:rPr>
            <w:noProof/>
          </w:rPr>
          <w:t>2</w:t>
        </w:r>
        <w:r>
          <w:fldChar w:fldCharType="end"/>
        </w:r>
      </w:p>
    </w:sdtContent>
  </w:sdt>
  <w:p w14:paraId="2DFD172A" w14:textId="77777777" w:rsidR="00E928FF" w:rsidRDefault="00E928F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74F25"/>
    <w:rsid w:val="000826FD"/>
    <w:rsid w:val="000D62EA"/>
    <w:rsid w:val="000F0773"/>
    <w:rsid w:val="00163426"/>
    <w:rsid w:val="001A16F4"/>
    <w:rsid w:val="00202929"/>
    <w:rsid w:val="002534C7"/>
    <w:rsid w:val="002F00C5"/>
    <w:rsid w:val="00376CFE"/>
    <w:rsid w:val="004135D3"/>
    <w:rsid w:val="004476DD"/>
    <w:rsid w:val="00474517"/>
    <w:rsid w:val="004812DC"/>
    <w:rsid w:val="0049111E"/>
    <w:rsid w:val="00491913"/>
    <w:rsid w:val="004B2D77"/>
    <w:rsid w:val="005445B4"/>
    <w:rsid w:val="00597EE8"/>
    <w:rsid w:val="005F495C"/>
    <w:rsid w:val="00612412"/>
    <w:rsid w:val="006962FF"/>
    <w:rsid w:val="006D5D84"/>
    <w:rsid w:val="006E056C"/>
    <w:rsid w:val="00747B5C"/>
    <w:rsid w:val="007539C3"/>
    <w:rsid w:val="007D369B"/>
    <w:rsid w:val="008354D5"/>
    <w:rsid w:val="008579DA"/>
    <w:rsid w:val="0087358A"/>
    <w:rsid w:val="008965E5"/>
    <w:rsid w:val="008B555D"/>
    <w:rsid w:val="008E317B"/>
    <w:rsid w:val="008E6E82"/>
    <w:rsid w:val="008F506C"/>
    <w:rsid w:val="00923A6C"/>
    <w:rsid w:val="009A0E8B"/>
    <w:rsid w:val="009B3B83"/>
    <w:rsid w:val="00A87420"/>
    <w:rsid w:val="00AF7D08"/>
    <w:rsid w:val="00B05032"/>
    <w:rsid w:val="00B750B6"/>
    <w:rsid w:val="00BF61FB"/>
    <w:rsid w:val="00BF67E5"/>
    <w:rsid w:val="00CA4D3B"/>
    <w:rsid w:val="00CA60B2"/>
    <w:rsid w:val="00CB3E5B"/>
    <w:rsid w:val="00D86204"/>
    <w:rsid w:val="00DA3B49"/>
    <w:rsid w:val="00DF4F0E"/>
    <w:rsid w:val="00E04F3A"/>
    <w:rsid w:val="00E05339"/>
    <w:rsid w:val="00E22F32"/>
    <w:rsid w:val="00E33871"/>
    <w:rsid w:val="00E928FF"/>
    <w:rsid w:val="00EC481C"/>
    <w:rsid w:val="00F11B26"/>
    <w:rsid w:val="00F17363"/>
    <w:rsid w:val="00F27502"/>
    <w:rsid w:val="00FB2C37"/>
    <w:rsid w:val="00FF2020"/>
    <w:rsid w:val="00FF277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35A9B"/>
  <w15:docId w15:val="{7FEBA699-7256-4E71-AF57-A120B92F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928FF"/>
    <w:pPr>
      <w:tabs>
        <w:tab w:val="center" w:pos="4819"/>
        <w:tab w:val="right" w:pos="9638"/>
      </w:tabs>
    </w:pPr>
  </w:style>
  <w:style w:type="character" w:customStyle="1" w:styleId="AntratsDiagrama">
    <w:name w:val="Antraštės Diagrama"/>
    <w:basedOn w:val="Numatytasispastraiposriftas"/>
    <w:link w:val="Antrats"/>
    <w:uiPriority w:val="99"/>
    <w:rsid w:val="00E928FF"/>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928FF"/>
    <w:pPr>
      <w:tabs>
        <w:tab w:val="center" w:pos="4819"/>
        <w:tab w:val="right" w:pos="9638"/>
      </w:tabs>
    </w:pPr>
  </w:style>
  <w:style w:type="character" w:customStyle="1" w:styleId="PoratDiagrama">
    <w:name w:val="Poraštė Diagrama"/>
    <w:basedOn w:val="Numatytasispastraiposriftas"/>
    <w:link w:val="Porat"/>
    <w:uiPriority w:val="99"/>
    <w:rsid w:val="00E928F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2659</Words>
  <Characters>1517</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Inga Mikalauskienė</cp:lastModifiedBy>
  <cp:revision>4</cp:revision>
  <dcterms:created xsi:type="dcterms:W3CDTF">2023-02-13T12:52:00Z</dcterms:created>
  <dcterms:modified xsi:type="dcterms:W3CDTF">2023-02-13T13:03:00Z</dcterms:modified>
</cp:coreProperties>
</file>