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CD6AC" w14:textId="77777777" w:rsidR="00694944" w:rsidRDefault="00694944" w:rsidP="00694944">
      <w:pPr>
        <w:jc w:val="center"/>
        <w:outlineLvl w:val="0"/>
        <w:rPr>
          <w:b/>
          <w:bCs/>
        </w:rPr>
      </w:pPr>
    </w:p>
    <w:p w14:paraId="711CD6AD" w14:textId="77777777" w:rsidR="00694944" w:rsidRPr="00C5156F" w:rsidRDefault="00694944" w:rsidP="00694944">
      <w:pPr>
        <w:jc w:val="center"/>
        <w:outlineLvl w:val="0"/>
        <w:rPr>
          <w:b/>
          <w:bCs/>
        </w:rPr>
      </w:pPr>
      <w:r w:rsidRPr="00C5156F">
        <w:rPr>
          <w:b/>
          <w:bCs/>
        </w:rPr>
        <w:t>PATEIKTŲ PASIŪLYMŲ ĮGYVENDINIMAS</w:t>
      </w:r>
      <w:r w:rsidRPr="00C5156F">
        <w:rPr>
          <w:rStyle w:val="Puslapioinaosnuoroda"/>
          <w:b/>
          <w:bCs/>
        </w:rPr>
        <w:footnoteReference w:id="1"/>
      </w:r>
    </w:p>
    <w:p w14:paraId="711CD6AE" w14:textId="77777777" w:rsidR="00694944" w:rsidRPr="00C5156F" w:rsidRDefault="00694944" w:rsidP="00694944">
      <w:pPr>
        <w:jc w:val="center"/>
        <w:rPr>
          <w:b/>
          <w:bCs/>
        </w:rPr>
      </w:pPr>
    </w:p>
    <w:p w14:paraId="692CC0F2" w14:textId="77777777" w:rsidR="0034418E" w:rsidRDefault="0034418E" w:rsidP="0034418E"/>
    <w:tbl>
      <w:tblPr>
        <w:tblStyle w:val="Lentelstinklelis"/>
        <w:tblW w:w="0" w:type="auto"/>
        <w:tblLook w:val="04A0" w:firstRow="1" w:lastRow="0" w:firstColumn="1" w:lastColumn="0" w:noHBand="0" w:noVBand="1"/>
      </w:tblPr>
      <w:tblGrid>
        <w:gridCol w:w="3223"/>
        <w:gridCol w:w="3198"/>
        <w:gridCol w:w="5931"/>
        <w:gridCol w:w="1924"/>
      </w:tblGrid>
      <w:tr w:rsidR="00307630" w:rsidRPr="002B3452" w14:paraId="2B949321" w14:textId="77777777" w:rsidTr="008751BD">
        <w:tc>
          <w:tcPr>
            <w:tcW w:w="3223" w:type="dxa"/>
          </w:tcPr>
          <w:p w14:paraId="2237D327" w14:textId="77777777" w:rsidR="0037500E" w:rsidRPr="008F1D8D" w:rsidRDefault="0037500E" w:rsidP="00187C33">
            <w:pPr>
              <w:widowControl w:val="0"/>
              <w:jc w:val="center"/>
              <w:rPr>
                <w:i/>
                <w:snapToGrid w:val="0"/>
              </w:rPr>
            </w:pPr>
            <w:r w:rsidRPr="008F1D8D">
              <w:rPr>
                <w:i/>
                <w:snapToGrid w:val="0"/>
              </w:rPr>
              <w:t>Pateiktos pastabos</w:t>
            </w:r>
          </w:p>
        </w:tc>
        <w:tc>
          <w:tcPr>
            <w:tcW w:w="3198" w:type="dxa"/>
          </w:tcPr>
          <w:p w14:paraId="52AC4B25" w14:textId="77777777" w:rsidR="0037500E" w:rsidRPr="008F1D8D" w:rsidRDefault="0037500E" w:rsidP="00187C33">
            <w:pPr>
              <w:widowControl w:val="0"/>
              <w:jc w:val="center"/>
              <w:rPr>
                <w:i/>
                <w:snapToGrid w:val="0"/>
              </w:rPr>
            </w:pPr>
            <w:r w:rsidRPr="008F1D8D">
              <w:rPr>
                <w:i/>
                <w:snapToGrid w:val="0"/>
              </w:rPr>
              <w:t>Pasiūlymai atsižvelgiant į pateiktas pastabas</w:t>
            </w:r>
          </w:p>
        </w:tc>
        <w:tc>
          <w:tcPr>
            <w:tcW w:w="5931" w:type="dxa"/>
          </w:tcPr>
          <w:p w14:paraId="36CBAB53" w14:textId="77777777" w:rsidR="0037500E" w:rsidRPr="008F1D8D" w:rsidRDefault="0037500E" w:rsidP="00187C33">
            <w:pPr>
              <w:widowControl w:val="0"/>
              <w:jc w:val="center"/>
              <w:rPr>
                <w:i/>
                <w:snapToGrid w:val="0"/>
              </w:rPr>
            </w:pPr>
            <w:r w:rsidRPr="008F1D8D">
              <w:rPr>
                <w:i/>
                <w:snapToGrid w:val="0"/>
              </w:rPr>
              <w:t>Duomenys apie pastabų ir pasiūlymų įgyvendinimą</w:t>
            </w:r>
          </w:p>
        </w:tc>
        <w:tc>
          <w:tcPr>
            <w:tcW w:w="1924" w:type="dxa"/>
          </w:tcPr>
          <w:p w14:paraId="3E7863AC" w14:textId="77777777" w:rsidR="0037500E" w:rsidRPr="008F1D8D" w:rsidRDefault="0037500E" w:rsidP="00187C33">
            <w:pPr>
              <w:widowControl w:val="0"/>
              <w:jc w:val="center"/>
              <w:rPr>
                <w:i/>
                <w:snapToGrid w:val="0"/>
              </w:rPr>
            </w:pPr>
            <w:r w:rsidRPr="008F1D8D">
              <w:rPr>
                <w:i/>
                <w:snapToGrid w:val="0"/>
              </w:rPr>
              <w:t>Specialiųjų tyrimų tarnybos vertinimas</w:t>
            </w:r>
          </w:p>
        </w:tc>
      </w:tr>
      <w:tr w:rsidR="0037500E" w:rsidRPr="002B3452" w14:paraId="27BD7A2B" w14:textId="77777777" w:rsidTr="008751BD">
        <w:tc>
          <w:tcPr>
            <w:tcW w:w="14276" w:type="dxa"/>
            <w:gridSpan w:val="4"/>
          </w:tcPr>
          <w:p w14:paraId="7DDD2410" w14:textId="77777777" w:rsidR="0037500E" w:rsidRPr="008F1D8D" w:rsidRDefault="0037500E" w:rsidP="00187C33">
            <w:pPr>
              <w:pStyle w:val="Sraopastraipa"/>
              <w:widowControl w:val="0"/>
              <w:numPr>
                <w:ilvl w:val="0"/>
                <w:numId w:val="1"/>
              </w:numPr>
              <w:jc w:val="center"/>
              <w:rPr>
                <w:i/>
                <w:snapToGrid w:val="0"/>
              </w:rPr>
            </w:pPr>
            <w:r w:rsidRPr="008F1D8D">
              <w:rPr>
                <w:i/>
                <w:snapToGrid w:val="0"/>
              </w:rPr>
              <w:t>Kritinės antikorupcinės pastabos</w:t>
            </w:r>
          </w:p>
        </w:tc>
      </w:tr>
      <w:tr w:rsidR="00307630" w:rsidRPr="002B3452" w14:paraId="578637E3" w14:textId="77777777" w:rsidTr="008751BD">
        <w:tc>
          <w:tcPr>
            <w:tcW w:w="3223" w:type="dxa"/>
          </w:tcPr>
          <w:p w14:paraId="354ADA35" w14:textId="77777777" w:rsidR="00CA4719" w:rsidRDefault="00CA4719" w:rsidP="00CA4719">
            <w:pPr>
              <w:spacing w:line="360" w:lineRule="auto"/>
              <w:ind w:firstLine="851"/>
              <w:jc w:val="both"/>
            </w:pPr>
            <w:r>
              <w:t>Savivaldybėse vienas ir tas pats savivaldybės tarnautojas tikrina projektinius dokumentus statybos leidimui gauti, pritaria arba nepritaria techniniam projektui, teikia pastabas ir išduoda arba neišduoda statybą leidžiantį dokumentą. Šiame procese nėra vykdomas tolimesnės kontrolės (pavyzdžiui, netaikomas „keturių akių“ principas) etapas ar papildoma priimto sprendimo patikra (motyvai išdėstyti 2.3. poskyryje).</w:t>
            </w:r>
          </w:p>
          <w:p w14:paraId="2B047CF1" w14:textId="77777777" w:rsidR="0037500E" w:rsidRPr="002B3452" w:rsidRDefault="0037500E" w:rsidP="00187C33">
            <w:pPr>
              <w:widowControl w:val="0"/>
              <w:rPr>
                <w:snapToGrid w:val="0"/>
              </w:rPr>
            </w:pPr>
          </w:p>
        </w:tc>
        <w:tc>
          <w:tcPr>
            <w:tcW w:w="3198" w:type="dxa"/>
          </w:tcPr>
          <w:p w14:paraId="016021AC" w14:textId="77777777" w:rsidR="00CA4719" w:rsidRDefault="00CA4719" w:rsidP="00CA4719">
            <w:pPr>
              <w:pStyle w:val="Sraopastraipa"/>
              <w:tabs>
                <w:tab w:val="left" w:pos="142"/>
                <w:tab w:val="left" w:pos="1134"/>
              </w:tabs>
              <w:spacing w:line="360" w:lineRule="auto"/>
              <w:ind w:left="0" w:firstLine="851"/>
              <w:jc w:val="both"/>
              <w:rPr>
                <w:szCs w:val="24"/>
                <w:lang w:bidi="lt-LT"/>
              </w:rPr>
            </w:pPr>
            <w:r>
              <w:rPr>
                <w:szCs w:val="24"/>
                <w:lang w:bidi="lt-LT"/>
              </w:rPr>
              <w:lastRenderedPageBreak/>
              <w:t>Pagal galimybės atskirti darbuotojų, dalyvaujančių statybas leidžiančių dokumentų procese, funkcijas. Nesant galimybės,</w:t>
            </w:r>
            <w:r>
              <w:rPr>
                <w:szCs w:val="24"/>
              </w:rPr>
              <w:t xml:space="preserve"> teisiniame reglamentavime</w:t>
            </w:r>
            <w:r>
              <w:rPr>
                <w:szCs w:val="24"/>
                <w:lang w:bidi="lt-LT"/>
              </w:rPr>
              <w:t xml:space="preserve"> nustatyti papildomą kontrolės mechanizmą (pavyzdžiui, pritaikyti „keturių akių“ principą), pagal kurį statybos projektų dokumentacija būtų papildomai peržiūrima.</w:t>
            </w:r>
          </w:p>
          <w:p w14:paraId="663A01AA" w14:textId="77777777" w:rsidR="0037500E" w:rsidRPr="002B3452" w:rsidRDefault="0037500E" w:rsidP="00187C33">
            <w:pPr>
              <w:widowControl w:val="0"/>
              <w:rPr>
                <w:snapToGrid w:val="0"/>
              </w:rPr>
            </w:pPr>
          </w:p>
        </w:tc>
        <w:tc>
          <w:tcPr>
            <w:tcW w:w="5931" w:type="dxa"/>
          </w:tcPr>
          <w:p w14:paraId="64C1E8D6" w14:textId="77777777" w:rsidR="007B7E1F" w:rsidRDefault="007B7E1F" w:rsidP="007B7E1F">
            <w:pPr>
              <w:ind w:firstLine="709"/>
              <w:jc w:val="both"/>
            </w:pPr>
            <w:r>
              <w:t>Atsižvelgta.  Įsigaliojus naujiems teisės aktams,  statybos leidžiančių dokumentų procese pritaikysime ,,keturių akių“ principą. Priemonės įgyvendinimas  įtrauktas į 2023-2025 m.  Klaipėdos miesto savivaldybės korupcijos prevencijos veiksmų planą.</w:t>
            </w:r>
          </w:p>
          <w:p w14:paraId="7E0E3779" w14:textId="02732614" w:rsidR="007B7E1F" w:rsidRDefault="007B7E1F" w:rsidP="007B7E1F">
            <w:pPr>
              <w:ind w:firstLine="709"/>
              <w:jc w:val="both"/>
              <w:rPr>
                <w:sz w:val="22"/>
                <w:szCs w:val="20"/>
              </w:rPr>
            </w:pPr>
            <w:r>
              <w:t xml:space="preserve">Pažymėtina, kad 2023-04-01 įsigalios LR statybos įstatymo pasikeitimai – teisė išduoti specialiuosius reikalavimus, statybą leidžiančius dokumentus, informuoti visuomenę apie numatomą visuomenei svarbių statinių ir statinių dalių projektavimą bus suteikiama merams ar jų įgaliotiems savivaldybių administracijų valstybės tarnautojams. Kol kas nėra aišku, ar nurodytas funkcijas IS </w:t>
            </w:r>
            <w:proofErr w:type="spellStart"/>
            <w:r>
              <w:t>Infostatyba</w:t>
            </w:r>
            <w:proofErr w:type="spellEnd"/>
            <w:r>
              <w:t xml:space="preserve"> vykdys patys merai, ar jos bus deleguotos savivaldybių administracijų valstybės tarnautojams.</w:t>
            </w:r>
          </w:p>
          <w:p w14:paraId="5A5EC7F9" w14:textId="77777777" w:rsidR="0037500E" w:rsidRPr="002B3452" w:rsidRDefault="0037500E" w:rsidP="007B7E1F">
            <w:pPr>
              <w:ind w:firstLine="709"/>
              <w:jc w:val="both"/>
              <w:rPr>
                <w:snapToGrid w:val="0"/>
              </w:rPr>
            </w:pPr>
          </w:p>
        </w:tc>
        <w:tc>
          <w:tcPr>
            <w:tcW w:w="1924" w:type="dxa"/>
          </w:tcPr>
          <w:p w14:paraId="012A86E9" w14:textId="77777777" w:rsidR="0037500E" w:rsidRPr="002B3452" w:rsidRDefault="0037500E" w:rsidP="00187C33">
            <w:pPr>
              <w:widowControl w:val="0"/>
              <w:rPr>
                <w:snapToGrid w:val="0"/>
              </w:rPr>
            </w:pPr>
          </w:p>
        </w:tc>
      </w:tr>
      <w:tr w:rsidR="00307630" w:rsidRPr="002B3452" w14:paraId="3D6A8FFD" w14:textId="77777777" w:rsidTr="008751BD">
        <w:tc>
          <w:tcPr>
            <w:tcW w:w="3223" w:type="dxa"/>
          </w:tcPr>
          <w:p w14:paraId="531AF5DA" w14:textId="77777777" w:rsidR="0037500E" w:rsidRPr="002B3452" w:rsidRDefault="0037500E" w:rsidP="00187C33">
            <w:pPr>
              <w:widowControl w:val="0"/>
              <w:rPr>
                <w:snapToGrid w:val="0"/>
              </w:rPr>
            </w:pPr>
          </w:p>
        </w:tc>
        <w:tc>
          <w:tcPr>
            <w:tcW w:w="3198" w:type="dxa"/>
          </w:tcPr>
          <w:p w14:paraId="4C569133" w14:textId="77777777" w:rsidR="0037500E" w:rsidRPr="002B3452" w:rsidRDefault="0037500E" w:rsidP="00187C33">
            <w:pPr>
              <w:widowControl w:val="0"/>
              <w:rPr>
                <w:snapToGrid w:val="0"/>
              </w:rPr>
            </w:pPr>
          </w:p>
        </w:tc>
        <w:tc>
          <w:tcPr>
            <w:tcW w:w="5931" w:type="dxa"/>
          </w:tcPr>
          <w:p w14:paraId="300D25AC" w14:textId="77777777" w:rsidR="0037500E" w:rsidRPr="002B3452" w:rsidRDefault="0037500E" w:rsidP="00187C33">
            <w:pPr>
              <w:widowControl w:val="0"/>
              <w:rPr>
                <w:snapToGrid w:val="0"/>
              </w:rPr>
            </w:pPr>
          </w:p>
        </w:tc>
        <w:tc>
          <w:tcPr>
            <w:tcW w:w="1924" w:type="dxa"/>
          </w:tcPr>
          <w:p w14:paraId="036B10A7" w14:textId="77777777" w:rsidR="0037500E" w:rsidRPr="002B3452" w:rsidRDefault="0037500E" w:rsidP="00187C33">
            <w:pPr>
              <w:widowControl w:val="0"/>
              <w:rPr>
                <w:snapToGrid w:val="0"/>
              </w:rPr>
            </w:pPr>
          </w:p>
        </w:tc>
      </w:tr>
      <w:tr w:rsidR="00307630" w:rsidRPr="002B3452" w14:paraId="4FBF67F6" w14:textId="77777777" w:rsidTr="008751BD">
        <w:tc>
          <w:tcPr>
            <w:tcW w:w="3223" w:type="dxa"/>
          </w:tcPr>
          <w:p w14:paraId="3C22B507" w14:textId="77777777" w:rsidR="0037500E" w:rsidRPr="002B3452" w:rsidRDefault="0037500E" w:rsidP="00187C33">
            <w:pPr>
              <w:widowControl w:val="0"/>
              <w:rPr>
                <w:snapToGrid w:val="0"/>
              </w:rPr>
            </w:pPr>
          </w:p>
        </w:tc>
        <w:tc>
          <w:tcPr>
            <w:tcW w:w="3198" w:type="dxa"/>
          </w:tcPr>
          <w:p w14:paraId="1A879866" w14:textId="77777777" w:rsidR="0037500E" w:rsidRPr="002B3452" w:rsidRDefault="0037500E" w:rsidP="00187C33">
            <w:pPr>
              <w:widowControl w:val="0"/>
              <w:rPr>
                <w:snapToGrid w:val="0"/>
              </w:rPr>
            </w:pPr>
          </w:p>
        </w:tc>
        <w:tc>
          <w:tcPr>
            <w:tcW w:w="5931" w:type="dxa"/>
          </w:tcPr>
          <w:p w14:paraId="5EEE4623" w14:textId="77777777" w:rsidR="0037500E" w:rsidRPr="002B3452" w:rsidRDefault="0037500E" w:rsidP="00187C33">
            <w:pPr>
              <w:widowControl w:val="0"/>
              <w:rPr>
                <w:snapToGrid w:val="0"/>
              </w:rPr>
            </w:pPr>
          </w:p>
        </w:tc>
        <w:tc>
          <w:tcPr>
            <w:tcW w:w="1924" w:type="dxa"/>
          </w:tcPr>
          <w:p w14:paraId="760598AF" w14:textId="77777777" w:rsidR="0037500E" w:rsidRPr="002B3452" w:rsidRDefault="0037500E" w:rsidP="00187C33">
            <w:pPr>
              <w:widowControl w:val="0"/>
              <w:rPr>
                <w:snapToGrid w:val="0"/>
              </w:rPr>
            </w:pPr>
          </w:p>
        </w:tc>
      </w:tr>
      <w:tr w:rsidR="0037500E" w:rsidRPr="002B3452" w14:paraId="22959D72" w14:textId="77777777" w:rsidTr="008751BD">
        <w:tc>
          <w:tcPr>
            <w:tcW w:w="14276" w:type="dxa"/>
            <w:gridSpan w:val="4"/>
          </w:tcPr>
          <w:p w14:paraId="7D0421E7" w14:textId="77777777" w:rsidR="0037500E" w:rsidRPr="008F1D8D" w:rsidRDefault="0037500E" w:rsidP="00187C33">
            <w:pPr>
              <w:pStyle w:val="Sraopastraipa"/>
              <w:widowControl w:val="0"/>
              <w:numPr>
                <w:ilvl w:val="0"/>
                <w:numId w:val="1"/>
              </w:numPr>
              <w:jc w:val="center"/>
              <w:rPr>
                <w:i/>
                <w:snapToGrid w:val="0"/>
              </w:rPr>
            </w:pPr>
            <w:r w:rsidRPr="008F1D8D">
              <w:rPr>
                <w:i/>
                <w:snapToGrid w:val="0"/>
              </w:rPr>
              <w:t>Kitos antikorupcinės pastabos</w:t>
            </w:r>
          </w:p>
        </w:tc>
      </w:tr>
      <w:tr w:rsidR="00307630" w:rsidRPr="002B3452" w14:paraId="5F7D1D8A" w14:textId="77777777" w:rsidTr="008751BD">
        <w:tc>
          <w:tcPr>
            <w:tcW w:w="3223" w:type="dxa"/>
          </w:tcPr>
          <w:p w14:paraId="0BB258C6" w14:textId="77777777" w:rsidR="00692535" w:rsidRDefault="00692535" w:rsidP="00692535">
            <w:pPr>
              <w:spacing w:line="360" w:lineRule="auto"/>
              <w:ind w:firstLine="851"/>
              <w:jc w:val="both"/>
            </w:pPr>
            <w:r>
              <w:t xml:space="preserve">Analizės atlikimo metu, atsitiktine tvarka vertinant savivaldybių išduotus SLD, pastebėta, jog kai kuriais atvejais buvo pavėluota išduoti statybos leidimus (arba pateikti statytojams atsakymus dėl jų prašymų atmetimo arba nepriėmimo) ir tai neatitinka Statybos įstatymo 27 straipsnio 12 ir 13 dalies nuostatų, o taip pat dėl savivaldybėms žinomų priežasčių, tą pačią dieną pateiktų prašymų išduoti SLD nagrinėjimas užtrunka skirtingus laikotarpius. Manytina, jog ir nedideli vėlavimai atsakyti prašymą pateikusiems statytojų atstovams, arba vėlavimai </w:t>
            </w:r>
            <w:r>
              <w:lastRenderedPageBreak/>
              <w:t xml:space="preserve">išduoti leidimą statybai, kai prašymai yra patenkinti, sudaro prielaidą ilgėti statybos leidimo išdavimo procedūroms arba kai kuriais atvejais net ir jas vilkinti. Visą tai gali sąlygoti statytojams materialinę žalą, kurie atitinkamai ją galėtų išsireikalauti teisinėmis gynimo priemonėmis iš atsakingų subjektų. Taip pat, korupcijos rizikos analizėje įvardinti atvejai, kuomet skiriasi prašymų išduoti SLD nagrinėjimo laikotarpiai gali tapti ir priemone nesąžiningam valstybės tarnautojų, atsakingų už SLD išdavimą, elgesiui vilkinant sprendimus išduoti SLD, kuomet yra prašoma ar reikalaujama statytojų atlyginti už operatyvesnį jų prašymą nagrinėjimą – visą tai kelia </w:t>
            </w:r>
            <w:r>
              <w:lastRenderedPageBreak/>
              <w:t>korupcijos pasireiškimo tikimybę šiame procese. (motyvai išdėstyti 2.1. poskyryje).</w:t>
            </w:r>
          </w:p>
          <w:p w14:paraId="54045A67" w14:textId="77777777" w:rsidR="00692535" w:rsidRDefault="00692535" w:rsidP="00692535">
            <w:pPr>
              <w:spacing w:line="360" w:lineRule="auto"/>
              <w:ind w:firstLine="851"/>
              <w:jc w:val="both"/>
            </w:pPr>
          </w:p>
          <w:p w14:paraId="460CFD48" w14:textId="77777777" w:rsidR="00692535" w:rsidRDefault="00692535" w:rsidP="00692535">
            <w:pPr>
              <w:spacing w:line="360" w:lineRule="auto"/>
              <w:ind w:firstLine="851"/>
              <w:jc w:val="both"/>
            </w:pPr>
          </w:p>
          <w:p w14:paraId="60C5E213" w14:textId="77777777" w:rsidR="0037500E" w:rsidRPr="002B3452" w:rsidRDefault="0037500E" w:rsidP="00187C33">
            <w:pPr>
              <w:widowControl w:val="0"/>
              <w:rPr>
                <w:snapToGrid w:val="0"/>
              </w:rPr>
            </w:pPr>
          </w:p>
        </w:tc>
        <w:tc>
          <w:tcPr>
            <w:tcW w:w="3198" w:type="dxa"/>
          </w:tcPr>
          <w:p w14:paraId="54AE4E77" w14:textId="77777777" w:rsidR="00692535" w:rsidRDefault="00692535" w:rsidP="00692535">
            <w:pPr>
              <w:tabs>
                <w:tab w:val="left" w:pos="1134"/>
              </w:tabs>
              <w:spacing w:line="360" w:lineRule="auto"/>
              <w:ind w:firstLine="851"/>
              <w:jc w:val="both"/>
            </w:pPr>
            <w:r>
              <w:lastRenderedPageBreak/>
              <w:t>Spręsti dėl savivaldybės administracijos darbuotojų, atsakingų už statybas leidžiančių dokumentų išdavimą, žmogiškųjų resursų didinimo, o nesant galimybės - perskirstymo ar efektyvesnio darbo krūvio padalinimo.</w:t>
            </w:r>
          </w:p>
          <w:p w14:paraId="26475561" w14:textId="3FE0425F" w:rsidR="00237228" w:rsidRDefault="00237228" w:rsidP="00237228">
            <w:pPr>
              <w:tabs>
                <w:tab w:val="left" w:pos="1134"/>
              </w:tabs>
              <w:spacing w:line="360" w:lineRule="auto"/>
              <w:ind w:firstLine="851"/>
              <w:jc w:val="both"/>
            </w:pPr>
            <w:r>
              <w:t>.</w:t>
            </w:r>
            <w:r>
              <w:rPr>
                <w:i/>
              </w:rPr>
              <w:t xml:space="preserve"> </w:t>
            </w:r>
            <w:r>
              <w:t>Numatyti papildomas vilkinamų ar vėluojančių prašymų išduoti SLD kontrolės priemones (pavyzdžiui, reguliariai peržiūrėti ir išanalizuoti priežastis kodėl vieni ar kiti prašymai nėra išnagrinėjami įstatymuose numatytais terminais, ar tos priežastys yra objektyvios ir kt.).</w:t>
            </w:r>
          </w:p>
          <w:p w14:paraId="19A31F37" w14:textId="77777777" w:rsidR="00237228" w:rsidRDefault="00237228" w:rsidP="00237228">
            <w:pPr>
              <w:tabs>
                <w:tab w:val="left" w:pos="1134"/>
              </w:tabs>
              <w:spacing w:line="360" w:lineRule="auto"/>
              <w:ind w:firstLine="851"/>
              <w:jc w:val="both"/>
            </w:pPr>
          </w:p>
          <w:p w14:paraId="227ECD91" w14:textId="77777777" w:rsidR="0037500E" w:rsidRPr="002B3452" w:rsidRDefault="0037500E" w:rsidP="00187C33">
            <w:pPr>
              <w:widowControl w:val="0"/>
              <w:rPr>
                <w:snapToGrid w:val="0"/>
              </w:rPr>
            </w:pPr>
          </w:p>
        </w:tc>
        <w:tc>
          <w:tcPr>
            <w:tcW w:w="5931" w:type="dxa"/>
          </w:tcPr>
          <w:p w14:paraId="6E65057A" w14:textId="77777777" w:rsidR="0037500E" w:rsidRDefault="0037500E" w:rsidP="00187C33">
            <w:pPr>
              <w:widowControl w:val="0"/>
              <w:rPr>
                <w:snapToGrid w:val="0"/>
              </w:rPr>
            </w:pPr>
          </w:p>
          <w:p w14:paraId="75A10545" w14:textId="6EEE5F4F" w:rsidR="00237228" w:rsidRPr="002B3452" w:rsidRDefault="00015EAC" w:rsidP="00E37B92">
            <w:pPr>
              <w:widowControl w:val="0"/>
              <w:rPr>
                <w:snapToGrid w:val="0"/>
              </w:rPr>
            </w:pPr>
            <w:r w:rsidRPr="00E37B92">
              <w:rPr>
                <w:snapToGrid w:val="0"/>
              </w:rPr>
              <w:t xml:space="preserve">Iš dalies atsižvelgta. </w:t>
            </w:r>
            <w:r w:rsidR="00E37B92" w:rsidRPr="00E37B92">
              <w:t>Esant dideliam prašymų išduoti SLD kiekiui, viršijančiam įprastą darbo krūvį, funkcijai atlikti numatoma pasitelkti papildomą specialistą iš skyriaus darbuotojų tarpo.</w:t>
            </w:r>
            <w:r w:rsidR="00C53A08" w:rsidRPr="00E37B92">
              <w:rPr>
                <w:snapToGrid w:val="0"/>
              </w:rPr>
              <w:t xml:space="preserve">  </w:t>
            </w:r>
            <w:r w:rsidR="00131283" w:rsidRPr="00E37B92">
              <w:rPr>
                <w:snapToGrid w:val="0"/>
              </w:rPr>
              <w:t xml:space="preserve">Vilkinamų </w:t>
            </w:r>
            <w:r w:rsidR="00C53A08" w:rsidRPr="00E37B92">
              <w:rPr>
                <w:snapToGrid w:val="0"/>
              </w:rPr>
              <w:t xml:space="preserve"> </w:t>
            </w:r>
            <w:r w:rsidR="00131283" w:rsidRPr="00E37B92">
              <w:rPr>
                <w:snapToGrid w:val="0"/>
              </w:rPr>
              <w:t xml:space="preserve">ar vėluojančių prašymų išduoti SLD nėra. Todėl neaktualu numatyti papildomas </w:t>
            </w:r>
            <w:r w:rsidR="00131283">
              <w:rPr>
                <w:snapToGrid w:val="0"/>
              </w:rPr>
              <w:t>kontrolės priemones.</w:t>
            </w:r>
            <w:r w:rsidR="00C53A08">
              <w:rPr>
                <w:snapToGrid w:val="0"/>
              </w:rPr>
              <w:t xml:space="preserve">                                                                                                                                                                                                                                                                                                                                                                              </w:t>
            </w:r>
          </w:p>
        </w:tc>
        <w:tc>
          <w:tcPr>
            <w:tcW w:w="1924" w:type="dxa"/>
          </w:tcPr>
          <w:p w14:paraId="3D5420DA" w14:textId="77777777" w:rsidR="0037500E" w:rsidRPr="002B3452" w:rsidRDefault="0037500E" w:rsidP="00187C33">
            <w:pPr>
              <w:widowControl w:val="0"/>
              <w:rPr>
                <w:snapToGrid w:val="0"/>
              </w:rPr>
            </w:pPr>
          </w:p>
        </w:tc>
      </w:tr>
      <w:tr w:rsidR="0037500E" w:rsidRPr="002B3452" w14:paraId="6A3D74DF" w14:textId="77777777" w:rsidTr="008751BD">
        <w:tc>
          <w:tcPr>
            <w:tcW w:w="14276" w:type="dxa"/>
            <w:gridSpan w:val="4"/>
          </w:tcPr>
          <w:p w14:paraId="1226815D" w14:textId="77777777" w:rsidR="0037500E" w:rsidRPr="008F1D8D" w:rsidRDefault="0037500E" w:rsidP="00187C33">
            <w:pPr>
              <w:pStyle w:val="Sraopastraipa"/>
              <w:widowControl w:val="0"/>
              <w:numPr>
                <w:ilvl w:val="0"/>
                <w:numId w:val="1"/>
              </w:numPr>
              <w:jc w:val="center"/>
              <w:rPr>
                <w:i/>
                <w:snapToGrid w:val="0"/>
              </w:rPr>
            </w:pPr>
            <w:r w:rsidRPr="008F1D8D">
              <w:rPr>
                <w:i/>
                <w:snapToGrid w:val="0"/>
              </w:rPr>
              <w:lastRenderedPageBreak/>
              <w:t>Kitos pastabos</w:t>
            </w:r>
          </w:p>
        </w:tc>
      </w:tr>
      <w:tr w:rsidR="00307630" w:rsidRPr="002B3452" w14:paraId="164F2D41" w14:textId="77777777" w:rsidTr="008751BD">
        <w:tc>
          <w:tcPr>
            <w:tcW w:w="3223" w:type="dxa"/>
          </w:tcPr>
          <w:p w14:paraId="52B96FAB" w14:textId="77777777" w:rsidR="0037500E" w:rsidRPr="002B3452" w:rsidRDefault="0037500E" w:rsidP="00187C33">
            <w:pPr>
              <w:widowControl w:val="0"/>
              <w:rPr>
                <w:snapToGrid w:val="0"/>
              </w:rPr>
            </w:pPr>
          </w:p>
        </w:tc>
        <w:tc>
          <w:tcPr>
            <w:tcW w:w="3198" w:type="dxa"/>
          </w:tcPr>
          <w:p w14:paraId="2EFDD91A" w14:textId="77777777" w:rsidR="0037500E" w:rsidRPr="002B3452" w:rsidRDefault="0037500E" w:rsidP="00187C33">
            <w:pPr>
              <w:widowControl w:val="0"/>
              <w:rPr>
                <w:snapToGrid w:val="0"/>
              </w:rPr>
            </w:pPr>
          </w:p>
        </w:tc>
        <w:tc>
          <w:tcPr>
            <w:tcW w:w="5931" w:type="dxa"/>
          </w:tcPr>
          <w:p w14:paraId="5B7E7616" w14:textId="77777777" w:rsidR="0037500E" w:rsidRPr="002B3452" w:rsidRDefault="0037500E" w:rsidP="00187C33">
            <w:pPr>
              <w:widowControl w:val="0"/>
              <w:rPr>
                <w:snapToGrid w:val="0"/>
              </w:rPr>
            </w:pPr>
          </w:p>
        </w:tc>
        <w:tc>
          <w:tcPr>
            <w:tcW w:w="1924" w:type="dxa"/>
          </w:tcPr>
          <w:p w14:paraId="1D851A50" w14:textId="77777777" w:rsidR="0037500E" w:rsidRPr="002B3452" w:rsidRDefault="0037500E" w:rsidP="00187C33">
            <w:pPr>
              <w:widowControl w:val="0"/>
              <w:rPr>
                <w:snapToGrid w:val="0"/>
              </w:rPr>
            </w:pPr>
          </w:p>
        </w:tc>
      </w:tr>
      <w:tr w:rsidR="00307630" w:rsidRPr="002B3452" w14:paraId="16E7A663" w14:textId="77777777" w:rsidTr="008751BD">
        <w:tc>
          <w:tcPr>
            <w:tcW w:w="3223" w:type="dxa"/>
          </w:tcPr>
          <w:p w14:paraId="7687E74F" w14:textId="77777777" w:rsidR="0037500E" w:rsidRPr="002B3452" w:rsidRDefault="0037500E" w:rsidP="00187C33">
            <w:pPr>
              <w:widowControl w:val="0"/>
              <w:rPr>
                <w:snapToGrid w:val="0"/>
              </w:rPr>
            </w:pPr>
          </w:p>
        </w:tc>
        <w:tc>
          <w:tcPr>
            <w:tcW w:w="3198" w:type="dxa"/>
          </w:tcPr>
          <w:p w14:paraId="56C1B397" w14:textId="77777777" w:rsidR="0037500E" w:rsidRPr="002B3452" w:rsidRDefault="0037500E" w:rsidP="00187C33">
            <w:pPr>
              <w:widowControl w:val="0"/>
              <w:rPr>
                <w:snapToGrid w:val="0"/>
              </w:rPr>
            </w:pPr>
          </w:p>
        </w:tc>
        <w:tc>
          <w:tcPr>
            <w:tcW w:w="5931" w:type="dxa"/>
          </w:tcPr>
          <w:p w14:paraId="6013854A" w14:textId="77777777" w:rsidR="0037500E" w:rsidRPr="002B3452" w:rsidRDefault="0037500E" w:rsidP="00187C33">
            <w:pPr>
              <w:widowControl w:val="0"/>
              <w:rPr>
                <w:snapToGrid w:val="0"/>
              </w:rPr>
            </w:pPr>
          </w:p>
        </w:tc>
        <w:tc>
          <w:tcPr>
            <w:tcW w:w="1924" w:type="dxa"/>
          </w:tcPr>
          <w:p w14:paraId="67ED5520" w14:textId="77777777" w:rsidR="0037500E" w:rsidRPr="002B3452" w:rsidRDefault="0037500E" w:rsidP="00187C33">
            <w:pPr>
              <w:widowControl w:val="0"/>
              <w:rPr>
                <w:snapToGrid w:val="0"/>
              </w:rPr>
            </w:pPr>
          </w:p>
        </w:tc>
      </w:tr>
      <w:tr w:rsidR="00307630" w:rsidRPr="002B3452" w14:paraId="2E802B51" w14:textId="77777777" w:rsidTr="008751BD">
        <w:tc>
          <w:tcPr>
            <w:tcW w:w="3223" w:type="dxa"/>
          </w:tcPr>
          <w:p w14:paraId="4FE6DDCF" w14:textId="77777777" w:rsidR="0037500E" w:rsidRPr="002B3452" w:rsidRDefault="0037500E" w:rsidP="00187C33">
            <w:pPr>
              <w:widowControl w:val="0"/>
              <w:rPr>
                <w:snapToGrid w:val="0"/>
              </w:rPr>
            </w:pPr>
          </w:p>
        </w:tc>
        <w:tc>
          <w:tcPr>
            <w:tcW w:w="3198" w:type="dxa"/>
          </w:tcPr>
          <w:p w14:paraId="66D830BA" w14:textId="77777777" w:rsidR="0037500E" w:rsidRPr="002B3452" w:rsidRDefault="0037500E" w:rsidP="00187C33">
            <w:pPr>
              <w:widowControl w:val="0"/>
              <w:rPr>
                <w:snapToGrid w:val="0"/>
              </w:rPr>
            </w:pPr>
          </w:p>
        </w:tc>
        <w:tc>
          <w:tcPr>
            <w:tcW w:w="5931" w:type="dxa"/>
          </w:tcPr>
          <w:p w14:paraId="0ED24A4E" w14:textId="77777777" w:rsidR="0037500E" w:rsidRPr="002B3452" w:rsidRDefault="0037500E" w:rsidP="00187C33">
            <w:pPr>
              <w:widowControl w:val="0"/>
              <w:rPr>
                <w:snapToGrid w:val="0"/>
              </w:rPr>
            </w:pPr>
          </w:p>
        </w:tc>
        <w:tc>
          <w:tcPr>
            <w:tcW w:w="1924" w:type="dxa"/>
          </w:tcPr>
          <w:p w14:paraId="34795A0B" w14:textId="77777777" w:rsidR="0037500E" w:rsidRPr="002B3452" w:rsidRDefault="0037500E" w:rsidP="00187C33">
            <w:pPr>
              <w:widowControl w:val="0"/>
              <w:rPr>
                <w:snapToGrid w:val="0"/>
              </w:rPr>
            </w:pPr>
          </w:p>
        </w:tc>
      </w:tr>
    </w:tbl>
    <w:p w14:paraId="4B5C8188" w14:textId="77777777" w:rsidR="0034418E" w:rsidRDefault="0034418E" w:rsidP="0034418E">
      <w:pPr>
        <w:spacing w:line="360" w:lineRule="auto"/>
        <w:ind w:firstLine="851"/>
        <w:jc w:val="center"/>
        <w:rPr>
          <w:lang w:eastAsia="en-US"/>
        </w:rPr>
      </w:pPr>
    </w:p>
    <w:p w14:paraId="711CD6BD" w14:textId="1AA67C1D" w:rsidR="000C5806" w:rsidRDefault="0034418E" w:rsidP="0034418E">
      <w:pPr>
        <w:jc w:val="center"/>
      </w:pPr>
      <w:r>
        <w:t>____________</w:t>
      </w:r>
    </w:p>
    <w:sectPr w:rsidR="000C5806" w:rsidSect="0037500E">
      <w:footnotePr>
        <w:numFmt w:val="chicago"/>
      </w:footnotePr>
      <w:pgSz w:w="16838" w:h="11906" w:orient="landscape"/>
      <w:pgMar w:top="1701" w:right="141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19F93" w14:textId="77777777" w:rsidR="001820B6" w:rsidRDefault="001820B6" w:rsidP="00694944">
      <w:r>
        <w:separator/>
      </w:r>
    </w:p>
  </w:endnote>
  <w:endnote w:type="continuationSeparator" w:id="0">
    <w:p w14:paraId="6A7D17F4" w14:textId="77777777" w:rsidR="001820B6" w:rsidRDefault="001820B6" w:rsidP="0069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4586" w14:textId="77777777" w:rsidR="001820B6" w:rsidRDefault="001820B6" w:rsidP="00694944">
      <w:r>
        <w:separator/>
      </w:r>
    </w:p>
  </w:footnote>
  <w:footnote w:type="continuationSeparator" w:id="0">
    <w:p w14:paraId="1FAB6406" w14:textId="77777777" w:rsidR="001820B6" w:rsidRDefault="001820B6" w:rsidP="00694944">
      <w:r>
        <w:continuationSeparator/>
      </w:r>
    </w:p>
  </w:footnote>
  <w:footnote w:id="1">
    <w:p w14:paraId="711CD6C2" w14:textId="77777777" w:rsidR="00694944" w:rsidRPr="0013385B" w:rsidRDefault="00694944" w:rsidP="00694944">
      <w:pPr>
        <w:pStyle w:val="Puslapioinaostekstas"/>
        <w:jc w:val="both"/>
        <w:rPr>
          <w:rFonts w:ascii="Times New Roman" w:hAnsi="Times New Roman"/>
        </w:rPr>
      </w:pPr>
      <w:r w:rsidRPr="00770A2D">
        <w:rPr>
          <w:rStyle w:val="Puslapioinaosnuoroda"/>
          <w:rFonts w:ascii="Times New Roman" w:hAnsi="Times New Roman"/>
        </w:rPr>
        <w:footnoteRef/>
      </w:r>
      <w:r w:rsidRPr="00770A2D">
        <w:rPr>
          <w:rFonts w:ascii="Times New Roman" w:hAnsi="Times New Roman"/>
          <w:bCs/>
        </w:rPr>
        <w:t xml:space="preserve"> Informaciją apie išvadoje dėl korupcijos rizikos analizės nurodytų pasiūly</w:t>
      </w:r>
      <w:r w:rsidRPr="000D690B">
        <w:rPr>
          <w:rFonts w:ascii="Times New Roman" w:hAnsi="Times New Roman"/>
          <w:bCs/>
        </w:rPr>
        <w:t>mų vykdymą ar numatomą įgyvendinimą prašome pateikti STT ne vėliau kaip per 3 mėnesius nuo išvados dėl korupcijos rizikos analizės gavimo dienos.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15AC1"/>
    <w:multiLevelType w:val="hybridMultilevel"/>
    <w:tmpl w:val="2280D6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1296"/>
  <w:hyphenationZone w:val="396"/>
  <w:drawingGridHorizontalSpacing w:val="11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4"/>
    <w:rsid w:val="00014C02"/>
    <w:rsid w:val="00015EAC"/>
    <w:rsid w:val="00040139"/>
    <w:rsid w:val="000C5806"/>
    <w:rsid w:val="000D63E8"/>
    <w:rsid w:val="00131283"/>
    <w:rsid w:val="001820B6"/>
    <w:rsid w:val="00205E41"/>
    <w:rsid w:val="00226298"/>
    <w:rsid w:val="00237228"/>
    <w:rsid w:val="00307630"/>
    <w:rsid w:val="0034418E"/>
    <w:rsid w:val="0037500E"/>
    <w:rsid w:val="003826DC"/>
    <w:rsid w:val="00383F51"/>
    <w:rsid w:val="003E50E6"/>
    <w:rsid w:val="003E7DC1"/>
    <w:rsid w:val="00432353"/>
    <w:rsid w:val="00442AB7"/>
    <w:rsid w:val="004818D2"/>
    <w:rsid w:val="005D4659"/>
    <w:rsid w:val="005E1894"/>
    <w:rsid w:val="00625300"/>
    <w:rsid w:val="00692535"/>
    <w:rsid w:val="00694944"/>
    <w:rsid w:val="00707BB8"/>
    <w:rsid w:val="00710319"/>
    <w:rsid w:val="0077052E"/>
    <w:rsid w:val="007B33E3"/>
    <w:rsid w:val="007B7E1F"/>
    <w:rsid w:val="008751BD"/>
    <w:rsid w:val="008F6DF3"/>
    <w:rsid w:val="008F7E2C"/>
    <w:rsid w:val="00930AE5"/>
    <w:rsid w:val="009374B9"/>
    <w:rsid w:val="00A15A80"/>
    <w:rsid w:val="00A72329"/>
    <w:rsid w:val="00AF0532"/>
    <w:rsid w:val="00B2318E"/>
    <w:rsid w:val="00B85DA1"/>
    <w:rsid w:val="00BB32CD"/>
    <w:rsid w:val="00C53629"/>
    <w:rsid w:val="00C53A08"/>
    <w:rsid w:val="00CA4719"/>
    <w:rsid w:val="00D07F3C"/>
    <w:rsid w:val="00D74C36"/>
    <w:rsid w:val="00E20495"/>
    <w:rsid w:val="00E37B92"/>
    <w:rsid w:val="00EF068B"/>
    <w:rsid w:val="00EF7971"/>
    <w:rsid w:val="00F3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CD6A9"/>
  <w15:chartTrackingRefBased/>
  <w15:docId w15:val="{BBB106CC-3A3C-4D34-8538-5371883D5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line="360" w:lineRule="auto"/>
        <w:ind w:firstLine="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94944"/>
    <w:pPr>
      <w:spacing w:line="240" w:lineRule="auto"/>
      <w:ind w:firstLine="0"/>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rsid w:val="00694944"/>
    <w:rPr>
      <w:rFonts w:ascii="Arial" w:eastAsia="Calibri" w:hAnsi="Arial"/>
      <w:sz w:val="20"/>
      <w:szCs w:val="20"/>
    </w:rPr>
  </w:style>
  <w:style w:type="character" w:customStyle="1" w:styleId="PuslapioinaostekstasDiagrama">
    <w:name w:val="Puslapio išnašos tekstas Diagrama"/>
    <w:basedOn w:val="Numatytasispastraiposriftas"/>
    <w:link w:val="Puslapioinaostekstas"/>
    <w:uiPriority w:val="99"/>
    <w:rsid w:val="00694944"/>
    <w:rPr>
      <w:rFonts w:ascii="Arial" w:eastAsia="Calibri" w:hAnsi="Arial" w:cs="Times New Roman"/>
      <w:sz w:val="20"/>
      <w:szCs w:val="20"/>
      <w:lang w:eastAsia="lt-LT"/>
    </w:rPr>
  </w:style>
  <w:style w:type="character" w:styleId="Puslapioinaosnuoroda">
    <w:name w:val="footnote reference"/>
    <w:uiPriority w:val="99"/>
    <w:rsid w:val="00694944"/>
    <w:rPr>
      <w:rFonts w:cs="Times New Roman"/>
      <w:vertAlign w:val="superscript"/>
    </w:rPr>
  </w:style>
  <w:style w:type="table" w:styleId="Lentelstinklelis">
    <w:name w:val="Table Grid"/>
    <w:basedOn w:val="prastojilentel"/>
    <w:rsid w:val="0037500E"/>
    <w:pPr>
      <w:spacing w:line="240" w:lineRule="auto"/>
      <w:ind w:firstLine="0"/>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Bullet EY,Paragraph,List Paragr1"/>
    <w:basedOn w:val="prastasis"/>
    <w:link w:val="SraopastraipaDiagrama"/>
    <w:uiPriority w:val="34"/>
    <w:qFormat/>
    <w:rsid w:val="0037500E"/>
    <w:pPr>
      <w:ind w:left="720"/>
      <w:contextualSpacing/>
    </w:pPr>
    <w:rPr>
      <w:szCs w:val="20"/>
      <w:lang w:eastAsia="en-US"/>
    </w:rPr>
  </w:style>
  <w:style w:type="paragraph" w:styleId="Debesliotekstas">
    <w:name w:val="Balloon Text"/>
    <w:basedOn w:val="prastasis"/>
    <w:link w:val="DebesliotekstasDiagrama"/>
    <w:uiPriority w:val="99"/>
    <w:semiHidden/>
    <w:unhideWhenUsed/>
    <w:rsid w:val="00CA471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A4719"/>
    <w:rPr>
      <w:rFonts w:ascii="Segoe UI" w:eastAsia="Times New Roman" w:hAnsi="Segoe UI" w:cs="Segoe UI"/>
      <w:sz w:val="18"/>
      <w:szCs w:val="18"/>
      <w:lang w:eastAsia="lt-LT"/>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locked/>
    <w:rsid w:val="00CA471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16908">
      <w:bodyDiv w:val="1"/>
      <w:marLeft w:val="0"/>
      <w:marRight w:val="0"/>
      <w:marTop w:val="0"/>
      <w:marBottom w:val="0"/>
      <w:divBdr>
        <w:top w:val="none" w:sz="0" w:space="0" w:color="auto"/>
        <w:left w:val="none" w:sz="0" w:space="0" w:color="auto"/>
        <w:bottom w:val="none" w:sz="0" w:space="0" w:color="auto"/>
        <w:right w:val="none" w:sz="0" w:space="0" w:color="auto"/>
      </w:divBdr>
    </w:div>
    <w:div w:id="930166809">
      <w:bodyDiv w:val="1"/>
      <w:marLeft w:val="0"/>
      <w:marRight w:val="0"/>
      <w:marTop w:val="0"/>
      <w:marBottom w:val="0"/>
      <w:divBdr>
        <w:top w:val="none" w:sz="0" w:space="0" w:color="auto"/>
        <w:left w:val="none" w:sz="0" w:space="0" w:color="auto"/>
        <w:bottom w:val="none" w:sz="0" w:space="0" w:color="auto"/>
        <w:right w:val="none" w:sz="0" w:space="0" w:color="auto"/>
      </w:divBdr>
    </w:div>
    <w:div w:id="1084765511">
      <w:bodyDiv w:val="1"/>
      <w:marLeft w:val="0"/>
      <w:marRight w:val="0"/>
      <w:marTop w:val="0"/>
      <w:marBottom w:val="0"/>
      <w:divBdr>
        <w:top w:val="none" w:sz="0" w:space="0" w:color="auto"/>
        <w:left w:val="none" w:sz="0" w:space="0" w:color="auto"/>
        <w:bottom w:val="none" w:sz="0" w:space="0" w:color="auto"/>
        <w:right w:val="none" w:sz="0" w:space="0" w:color="auto"/>
      </w:divBdr>
    </w:div>
    <w:div w:id="1513179700">
      <w:bodyDiv w:val="1"/>
      <w:marLeft w:val="0"/>
      <w:marRight w:val="0"/>
      <w:marTop w:val="0"/>
      <w:marBottom w:val="0"/>
      <w:divBdr>
        <w:top w:val="none" w:sz="0" w:space="0" w:color="auto"/>
        <w:left w:val="none" w:sz="0" w:space="0" w:color="auto"/>
        <w:bottom w:val="none" w:sz="0" w:space="0" w:color="auto"/>
        <w:right w:val="none" w:sz="0" w:space="0" w:color="auto"/>
      </w:divBdr>
    </w:div>
    <w:div w:id="1585605374">
      <w:bodyDiv w:val="1"/>
      <w:marLeft w:val="0"/>
      <w:marRight w:val="0"/>
      <w:marTop w:val="0"/>
      <w:marBottom w:val="0"/>
      <w:divBdr>
        <w:top w:val="none" w:sz="0" w:space="0" w:color="auto"/>
        <w:left w:val="none" w:sz="0" w:space="0" w:color="auto"/>
        <w:bottom w:val="none" w:sz="0" w:space="0" w:color="auto"/>
        <w:right w:val="none" w:sz="0" w:space="0" w:color="auto"/>
      </w:divBdr>
    </w:div>
    <w:div w:id="1650745219">
      <w:bodyDiv w:val="1"/>
      <w:marLeft w:val="0"/>
      <w:marRight w:val="0"/>
      <w:marTop w:val="0"/>
      <w:marBottom w:val="0"/>
      <w:divBdr>
        <w:top w:val="none" w:sz="0" w:space="0" w:color="auto"/>
        <w:left w:val="none" w:sz="0" w:space="0" w:color="auto"/>
        <w:bottom w:val="none" w:sz="0" w:space="0" w:color="auto"/>
        <w:right w:val="none" w:sz="0" w:space="0" w:color="auto"/>
      </w:divBdr>
    </w:div>
    <w:div w:id="187703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2701</Words>
  <Characters>1540</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Poškuvienė</dc:creator>
  <cp:lastModifiedBy>Alma Karčauskienė</cp:lastModifiedBy>
  <cp:revision>2</cp:revision>
  <cp:lastPrinted>2023-03-17T06:44:00Z</cp:lastPrinted>
  <dcterms:created xsi:type="dcterms:W3CDTF">2023-03-27T13:37:00Z</dcterms:created>
  <dcterms:modified xsi:type="dcterms:W3CDTF">2023-03-27T13:37:00Z</dcterms:modified>
</cp:coreProperties>
</file>