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Pr="00EB06F2" w:rsidRDefault="00CA4D3B" w:rsidP="00EB06F2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EB06F2" w:rsidRPr="00CA6AEE">
        <w:rPr>
          <w:b/>
          <w:caps/>
        </w:rPr>
        <w:t>klaipėdos miesto savivaldybės tarybos 2015 m. LIEPOS 30 d. sprendimo nr. t2-185 „DĖL KLAIPĖDOS MIESTO SAVIVALDYBĖS NEFORMALIOJO VAIKŲ ŠVIETIMO MOKYKLŲ IR FORMALŲJĮ ŠVIETIMĄ PAPILDANČIO UGDYMO MOKYKLŲ VEIKLOS ORGANIZAVIMO TVARKOS APRAŠO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T2-281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EB06F2" w:rsidRPr="00CA6AEE" w:rsidRDefault="00EB06F2" w:rsidP="00EB06F2">
      <w:pPr>
        <w:tabs>
          <w:tab w:val="left" w:pos="912"/>
        </w:tabs>
        <w:ind w:firstLine="709"/>
        <w:jc w:val="both"/>
      </w:pPr>
      <w:r w:rsidRPr="00CA6AEE">
        <w:t xml:space="preserve">Vadovaudamasi Lietuvos Respublikos vietos savivaldos įstatymo 18 straipsnio 1 dalimi, Klaipėdos miesto savivaldybės taryba </w:t>
      </w:r>
      <w:r w:rsidRPr="00CA6AEE">
        <w:rPr>
          <w:spacing w:val="60"/>
        </w:rPr>
        <w:t>nusprendži</w:t>
      </w:r>
      <w:r w:rsidRPr="00CA6AEE">
        <w:t>a:</w:t>
      </w:r>
    </w:p>
    <w:p w:rsidR="00EB06F2" w:rsidRPr="00E474C4" w:rsidRDefault="00EB06F2" w:rsidP="00EB06F2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CA6AEE">
        <w:t>Pakeisti Klaipėdos miesto savivaldybės neformaliojo vaikų švietimo</w:t>
      </w:r>
      <w:r>
        <w:t xml:space="preserve"> mokyklų ir formalųjį švietimą papildančio ugdymo mokyklų veiklos organizavimo tvarkos aprašą</w:t>
      </w:r>
      <w:r w:rsidRPr="00CA6AEE">
        <w:t>, patvirtint</w:t>
      </w:r>
      <w:r>
        <w:t>ą</w:t>
      </w:r>
      <w:r w:rsidRPr="00CA6AEE">
        <w:t xml:space="preserve"> Klaipėdos miesto savivaldybės </w:t>
      </w:r>
      <w:r>
        <w:t>tarybos 2015</w:t>
      </w:r>
      <w:r w:rsidRPr="00CA6AEE">
        <w:t xml:space="preserve"> m. </w:t>
      </w:r>
      <w:r>
        <w:t>liepos 30 d. sprendimu Nr. T2-185</w:t>
      </w:r>
      <w:r w:rsidRPr="00CA6AEE">
        <w:t xml:space="preserve"> „Dėl Klaipėdos miesto savivaldybės neformaliojo vaikų švietimo </w:t>
      </w:r>
      <w:r>
        <w:t xml:space="preserve">mokyklų ir formalųjį švietimą papildančio ugdymo </w:t>
      </w:r>
      <w:r w:rsidRPr="00E474C4">
        <w:t>mokyklų veiklos organizavimo tvarkos aprašo patvirtinimo“:</w:t>
      </w:r>
    </w:p>
    <w:p w:rsidR="00EB06F2" w:rsidRPr="00E474C4" w:rsidRDefault="00EB06F2" w:rsidP="00EB06F2">
      <w:pPr>
        <w:tabs>
          <w:tab w:val="left" w:pos="993"/>
        </w:tabs>
        <w:ind w:firstLine="709"/>
        <w:jc w:val="both"/>
      </w:pPr>
      <w:r w:rsidRPr="00E474C4">
        <w:t xml:space="preserve">1.1. pakeisti III </w:t>
      </w:r>
      <w:r>
        <w:t>skyrių</w:t>
      </w:r>
      <w:r w:rsidRPr="00E474C4">
        <w:t xml:space="preserve"> ir jį išdėstyti taip:</w:t>
      </w:r>
    </w:p>
    <w:p w:rsidR="00EB06F2" w:rsidRDefault="00EB06F2" w:rsidP="00EB06F2">
      <w:pPr>
        <w:pStyle w:val="Pagrindiniotekstotrauka3"/>
        <w:tabs>
          <w:tab w:val="left" w:pos="0"/>
          <w:tab w:val="left" w:pos="540"/>
          <w:tab w:val="left" w:pos="1260"/>
        </w:tabs>
        <w:spacing w:after="0"/>
        <w:ind w:left="0"/>
        <w:jc w:val="center"/>
        <w:rPr>
          <w:b/>
          <w:sz w:val="24"/>
          <w:szCs w:val="24"/>
        </w:rPr>
      </w:pPr>
      <w:r w:rsidRPr="00E474C4">
        <w:rPr>
          <w:sz w:val="24"/>
          <w:szCs w:val="24"/>
        </w:rPr>
        <w:t>„</w:t>
      </w:r>
      <w:r>
        <w:rPr>
          <w:b/>
          <w:sz w:val="24"/>
          <w:szCs w:val="24"/>
        </w:rPr>
        <w:t>III SKYRIUS</w:t>
      </w:r>
    </w:p>
    <w:p w:rsidR="00EB06F2" w:rsidRPr="00E474C4" w:rsidRDefault="00EB06F2" w:rsidP="00EB06F2">
      <w:pPr>
        <w:pStyle w:val="Pagrindiniotekstotrauka3"/>
        <w:tabs>
          <w:tab w:val="left" w:pos="0"/>
          <w:tab w:val="left" w:pos="540"/>
          <w:tab w:val="left" w:pos="1260"/>
        </w:tabs>
        <w:spacing w:after="0"/>
        <w:ind w:left="0"/>
        <w:jc w:val="center"/>
        <w:rPr>
          <w:b/>
          <w:sz w:val="24"/>
          <w:szCs w:val="24"/>
        </w:rPr>
      </w:pPr>
      <w:r w:rsidRPr="00E474C4">
        <w:rPr>
          <w:b/>
          <w:sz w:val="24"/>
          <w:szCs w:val="24"/>
        </w:rPr>
        <w:t>KLASIŲ (GRUPIŲ, BŪRELIŲ IR KT.) KOMPLEKTAVIMAS</w:t>
      </w:r>
    </w:p>
    <w:p w:rsidR="00EB06F2" w:rsidRPr="00E474C4" w:rsidRDefault="00EB06F2" w:rsidP="00EB06F2">
      <w:pPr>
        <w:pStyle w:val="Pagrindiniotekstotrauka3"/>
        <w:tabs>
          <w:tab w:val="left" w:pos="0"/>
          <w:tab w:val="left" w:pos="540"/>
          <w:tab w:val="left" w:pos="1260"/>
        </w:tabs>
        <w:spacing w:after="0"/>
        <w:ind w:left="0" w:firstLine="720"/>
        <w:jc w:val="center"/>
        <w:rPr>
          <w:sz w:val="24"/>
          <w:szCs w:val="24"/>
        </w:rPr>
      </w:pPr>
    </w:p>
    <w:p w:rsidR="00EB06F2" w:rsidRPr="00E474C4" w:rsidRDefault="00EB06F2" w:rsidP="00EB06F2">
      <w:pPr>
        <w:pStyle w:val="Pagrindiniotekstotrauka3"/>
        <w:tabs>
          <w:tab w:val="left" w:pos="0"/>
          <w:tab w:val="left" w:pos="709"/>
          <w:tab w:val="left" w:pos="1260"/>
        </w:tabs>
        <w:spacing w:after="0"/>
        <w:ind w:left="0" w:firstLine="720"/>
        <w:jc w:val="both"/>
        <w:rPr>
          <w:sz w:val="24"/>
          <w:szCs w:val="24"/>
        </w:rPr>
      </w:pPr>
      <w:r w:rsidRPr="00E474C4">
        <w:rPr>
          <w:sz w:val="24"/>
          <w:szCs w:val="24"/>
        </w:rPr>
        <w:t>20. Klasės (grupės, būreliai ar kt.) komplektuojamos kasmet nuo gegužės 1 d. iki spalio 1 d. Jų skaičius gali būti tikslinamas keletą kartų per mokslo metus.</w:t>
      </w:r>
    </w:p>
    <w:p w:rsidR="00EB06F2" w:rsidRPr="00E474C4" w:rsidRDefault="00EB06F2" w:rsidP="00EB06F2">
      <w:pPr>
        <w:pStyle w:val="Pagrindiniotekstotrauka3"/>
        <w:tabs>
          <w:tab w:val="left" w:pos="0"/>
          <w:tab w:val="left" w:pos="709"/>
          <w:tab w:val="left" w:pos="1260"/>
        </w:tabs>
        <w:spacing w:after="0"/>
        <w:ind w:left="0" w:firstLine="720"/>
        <w:jc w:val="both"/>
        <w:rPr>
          <w:sz w:val="24"/>
          <w:szCs w:val="24"/>
        </w:rPr>
      </w:pPr>
      <w:r w:rsidRPr="00E474C4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E474C4">
        <w:rPr>
          <w:sz w:val="24"/>
          <w:szCs w:val="24"/>
        </w:rPr>
        <w:t>Klasėje (grupėje, būrelyje ir kt.) nustatomas ne mažesnis negu 12 mokinių skaičius. Klasė (grupė, būrelis ir kt.) gali būti dalijama į pogrupius, atsižvelgiant į Mokyklos ir Centro veiklos specifiką, programų tęstinumą, patalpų galimybes ir ugdytinių amžių.</w:t>
      </w:r>
    </w:p>
    <w:p w:rsidR="00EB06F2" w:rsidRPr="00E474C4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20"/>
        <w:contextualSpacing/>
        <w:jc w:val="both"/>
      </w:pPr>
      <w:r w:rsidRPr="00E474C4">
        <w:t>22. Mokyklose klasė (grupė) gali būti iškomplektuojama, kai mokinių skaičius spalio 1 d. yra mažesnis, nei nustatyta 21 punkte</w:t>
      </w:r>
      <w:r>
        <w:t>,</w:t>
      </w:r>
      <w:r w:rsidRPr="00E474C4">
        <w:t xml:space="preserve"> arba sujungiama, kai per mokslo metus (išskyrus gegužės mėnesį) klasėje (grupėje) mokinių skaičius nesiekia 8. Klasės (grupės) iškomplektavimas arba grupių sujungimas nevykdomas, jei:</w:t>
      </w:r>
    </w:p>
    <w:p w:rsidR="00EB06F2" w:rsidRPr="00E474C4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E474C4">
        <w:t xml:space="preserve">22.1. visų grupių mokinių skaičiaus vidurkis yra </w:t>
      </w:r>
      <w:r>
        <w:t>ne mažesnis</w:t>
      </w:r>
      <w:r w:rsidRPr="00E474C4">
        <w:t xml:space="preserve"> negu 12;</w:t>
      </w:r>
    </w:p>
    <w:p w:rsidR="00EB06F2" w:rsidRPr="00E474C4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E474C4">
        <w:t>22.2. nėra galimybės mokiniams tęsti ugd</w:t>
      </w:r>
      <w:r>
        <w:t>ymo kryptį ir amžių atitinkančios programos arba baigti pradėtos kelerių metų programos</w:t>
      </w:r>
      <w:r w:rsidRPr="00E474C4">
        <w:t>, įgyjant neforma</w:t>
      </w:r>
      <w:r>
        <w:t>liojo vaikų švietimo pažymėjimą.</w:t>
      </w:r>
    </w:p>
    <w:p w:rsidR="00EB06F2" w:rsidRPr="00E474C4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E474C4">
        <w:t>23. Centre</w:t>
      </w:r>
      <w:r>
        <w:t xml:space="preserve"> grupė,</w:t>
      </w:r>
      <w:r w:rsidRPr="00E474C4">
        <w:t xml:space="preserve"> būrelis ar kt. iškomplektuojamas, kai:</w:t>
      </w:r>
    </w:p>
    <w:p w:rsidR="00EB06F2" w:rsidRPr="009B172D" w:rsidRDefault="00EB06F2" w:rsidP="00EB06F2">
      <w:pPr>
        <w:pStyle w:val="listparagraph"/>
        <w:tabs>
          <w:tab w:val="left" w:pos="0"/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B172D">
        <w:t>23.1. mokinių skaičius spalio 1 d. yra mažesnis, nei nustatyta 21 punkte, pasiūlant mokiniams ugdytis kitoje grupėje, būrelyje ar kt. pagal ugdymo kryptį ir amžių atitinkančią programą;</w:t>
      </w:r>
    </w:p>
    <w:p w:rsidR="00EB06F2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9B172D">
        <w:t>23.2. per mokslo metus (išskyrus gegužės mėnesį) sumažėjus mokinių skaičiui iki 9, vadovui nustatomas 14 dienų terminas, per kurį jis turi galimybę sukomplektuoti 21 punkte nustatytą mokinių skaičių; neįvykdžius šios sąlygos</w:t>
      </w:r>
      <w:r>
        <w:t>,</w:t>
      </w:r>
      <w:r w:rsidRPr="009B172D">
        <w:t xml:space="preserve"> būrelis ar kt. iškomplektuojamas, pasiūlant mokiniams ugdytis kitoje grupėje, būrelyje ar kt. pagal ugdymo kryptį ir amžių atitinkančią programą.“;</w:t>
      </w:r>
    </w:p>
    <w:p w:rsidR="00EB06F2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1.2. pakeisti 42.4 papunktį ir jį išdėstyti taip:</w:t>
      </w:r>
    </w:p>
    <w:p w:rsidR="00EB06F2" w:rsidRPr="001B1F3F" w:rsidRDefault="00EB06F2" w:rsidP="00EB06F2">
      <w:pPr>
        <w:tabs>
          <w:tab w:val="left" w:pos="851"/>
        </w:tabs>
        <w:ind w:firstLine="709"/>
        <w:jc w:val="both"/>
      </w:pPr>
      <w:r>
        <w:t>„</w:t>
      </w:r>
      <w:r w:rsidRPr="001B1F3F">
        <w:t>42.4. vaikas auga daug</w:t>
      </w:r>
      <w:r>
        <w:t xml:space="preserve">iavaikėje šeimoje </w:t>
      </w:r>
      <w:r w:rsidRPr="001B1F3F">
        <w:t>ir pateikė tai patvirtinančius dokum</w:t>
      </w:r>
      <w:r>
        <w:t>entus;“</w:t>
      </w:r>
      <w:r w:rsidRPr="001B1F3F">
        <w:t>;</w:t>
      </w:r>
    </w:p>
    <w:p w:rsidR="00EB06F2" w:rsidRDefault="00EB06F2" w:rsidP="00EB06F2">
      <w:pPr>
        <w:pStyle w:val="listparagraph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E426D0">
        <w:t>1.3. pakeisti 45 punktą ir jį išdėstyti taip:</w:t>
      </w:r>
    </w:p>
    <w:p w:rsidR="00EB06F2" w:rsidRPr="00E474C4" w:rsidRDefault="00EB06F2" w:rsidP="00EB06F2">
      <w:pPr>
        <w:tabs>
          <w:tab w:val="left" w:pos="851"/>
        </w:tabs>
        <w:ind w:firstLine="709"/>
        <w:jc w:val="both"/>
      </w:pPr>
      <w:r>
        <w:lastRenderedPageBreak/>
        <w:t>„</w:t>
      </w:r>
      <w:r w:rsidRPr="00945C58">
        <w:t>45. Atlyginimas už neformalųjį vaikų švietimą mažinamas</w:t>
      </w:r>
      <w:r>
        <w:t xml:space="preserve"> už vieną mėnesį</w:t>
      </w:r>
      <w:r w:rsidRPr="00945C58">
        <w:t xml:space="preserve">, jei mokinys </w:t>
      </w:r>
      <w:r w:rsidRPr="0068089D">
        <w:t>nedalyvavo ugdymo procese</w:t>
      </w:r>
      <w:r>
        <w:t xml:space="preserve"> dėl pateisinamų priežasčių (dėl </w:t>
      </w:r>
      <w:r w:rsidRPr="00945C58">
        <w:t>ligos, pateikus gydytojo pažymą ar jos kopiją</w:t>
      </w:r>
      <w:r>
        <w:t>;</w:t>
      </w:r>
      <w:r w:rsidRPr="00945C58">
        <w:t xml:space="preserve"> moky</w:t>
      </w:r>
      <w:r>
        <w:t>tojo komandiruotės, kursų, ligos metu</w:t>
      </w:r>
      <w:r w:rsidRPr="00945C58">
        <w:t>) ir tėvai (globėjai, rūpintojai) pateikė prašymą:</w:t>
      </w:r>
    </w:p>
    <w:p w:rsidR="00EB06F2" w:rsidRPr="00E474C4" w:rsidRDefault="00EB06F2" w:rsidP="00EB06F2">
      <w:pPr>
        <w:tabs>
          <w:tab w:val="left" w:pos="851"/>
        </w:tabs>
        <w:ind w:firstLine="709"/>
        <w:jc w:val="both"/>
        <w:rPr>
          <w:rFonts w:eastAsia="Calibri"/>
        </w:rPr>
      </w:pPr>
      <w:r w:rsidRPr="00E474C4">
        <w:rPr>
          <w:rFonts w:eastAsia="Calibri"/>
        </w:rPr>
        <w:t>45.1. 50 %, jeigu mokinys nedalyvavo ugdymo procese ne mažiau kaip 14 kalendorinių dienų iš eilės per mėnesį (du mėnesius);</w:t>
      </w:r>
    </w:p>
    <w:p w:rsidR="00EB06F2" w:rsidRPr="00E474C4" w:rsidRDefault="00EB06F2" w:rsidP="00EB06F2">
      <w:pPr>
        <w:tabs>
          <w:tab w:val="left" w:pos="851"/>
        </w:tabs>
        <w:ind w:firstLine="709"/>
        <w:jc w:val="both"/>
        <w:rPr>
          <w:rFonts w:eastAsia="Calibri"/>
        </w:rPr>
      </w:pPr>
      <w:r w:rsidRPr="00E474C4">
        <w:rPr>
          <w:rFonts w:eastAsia="Calibri"/>
        </w:rPr>
        <w:t xml:space="preserve">45.2. 75 %, jeigu mokinys nedalyvavo ugdymo procese ne mažiau kaip 21 kalendorinę dieną iš eilės </w:t>
      </w:r>
      <w:r>
        <w:rPr>
          <w:rFonts w:eastAsia="Calibri"/>
        </w:rPr>
        <w:t xml:space="preserve">per mėnesį </w:t>
      </w:r>
      <w:r w:rsidRPr="00E474C4">
        <w:rPr>
          <w:rFonts w:eastAsia="Calibri"/>
        </w:rPr>
        <w:t>(du mėnesius);</w:t>
      </w:r>
    </w:p>
    <w:p w:rsidR="00EB06F2" w:rsidRDefault="00EB06F2" w:rsidP="00EB06F2">
      <w:pPr>
        <w:tabs>
          <w:tab w:val="left" w:pos="851"/>
        </w:tabs>
        <w:ind w:firstLine="709"/>
        <w:jc w:val="both"/>
        <w:rPr>
          <w:rFonts w:eastAsia="Calibri"/>
        </w:rPr>
      </w:pPr>
      <w:r w:rsidRPr="00E474C4">
        <w:rPr>
          <w:rFonts w:eastAsia="Calibri"/>
        </w:rPr>
        <w:t xml:space="preserve">45.3. </w:t>
      </w:r>
      <w:r w:rsidRPr="009B172D">
        <w:rPr>
          <w:rFonts w:eastAsia="Calibri"/>
        </w:rPr>
        <w:t>100 %, jeigu mokinys daugiau kaip 21 kalendorinę dieną</w:t>
      </w:r>
      <w:r>
        <w:rPr>
          <w:rFonts w:eastAsia="Calibri"/>
        </w:rPr>
        <w:t xml:space="preserve"> iš eilės</w:t>
      </w:r>
      <w:r w:rsidRPr="009B172D">
        <w:rPr>
          <w:rFonts w:eastAsia="Calibri"/>
        </w:rPr>
        <w:t xml:space="preserve"> per mėnesį (du mėnesius)</w:t>
      </w:r>
      <w:r w:rsidRPr="009B172D">
        <w:rPr>
          <w:rFonts w:eastAsia="Calibri"/>
          <w:b/>
        </w:rPr>
        <w:t xml:space="preserve"> </w:t>
      </w:r>
      <w:r w:rsidRPr="009B172D">
        <w:rPr>
          <w:rFonts w:eastAsia="Calibri"/>
        </w:rPr>
        <w:t>nedalyvavo ugdymo procese;</w:t>
      </w:r>
    </w:p>
    <w:p w:rsidR="00EB06F2" w:rsidRDefault="00EB06F2" w:rsidP="00EB06F2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45.4. naujai priimtiems vaikams atlyginimo dydis Mokykloje ar Centre už einamąjį mėnesį nustatomas taip: pradėję lankyti </w:t>
      </w:r>
      <w:proofErr w:type="spellStart"/>
      <w:r>
        <w:rPr>
          <w:rFonts w:eastAsia="Calibri"/>
        </w:rPr>
        <w:t>užsiėmimus</w:t>
      </w:r>
      <w:proofErr w:type="spellEnd"/>
      <w:r>
        <w:rPr>
          <w:rFonts w:eastAsia="Calibri"/>
        </w:rPr>
        <w:t xml:space="preserve"> iki einamojo mėnesio 15 dienos moka visą nustatytą atlyginimo dydį, pradėjusiems lankyti </w:t>
      </w:r>
      <w:proofErr w:type="spellStart"/>
      <w:r>
        <w:rPr>
          <w:rFonts w:eastAsia="Calibri"/>
        </w:rPr>
        <w:t>užsiėmimus</w:t>
      </w:r>
      <w:proofErr w:type="spellEnd"/>
      <w:r>
        <w:rPr>
          <w:rFonts w:eastAsia="Calibri"/>
        </w:rPr>
        <w:t xml:space="preserve"> nuo einamojo mėnesio 16 dienos ir vėliau atlyginimo dydis mažinamas 50 procentų. Nutraukus Sutartį, vaikams atlyginimas už teikiamą neformalųjį vaikų švietimą skaičiuojamas iki Sutarties nutraukimo dienos.“</w:t>
      </w:r>
    </w:p>
    <w:p w:rsidR="00EB06F2" w:rsidRPr="00D76A39" w:rsidRDefault="00EB06F2" w:rsidP="00EB06F2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CA6AEE">
        <w:t>Skelbti šį sprendimą Teisės aktų registre ir Klaipėdo</w:t>
      </w:r>
      <w:r>
        <w:t xml:space="preserve">s miesto savivaldybės interneto </w:t>
      </w:r>
      <w:r w:rsidRPr="00CA6AEE">
        <w:t>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B06F2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1B" w:rsidRDefault="00502E1B" w:rsidP="00E014C1">
      <w:r>
        <w:separator/>
      </w:r>
    </w:p>
  </w:endnote>
  <w:endnote w:type="continuationSeparator" w:id="0">
    <w:p w:rsidR="00502E1B" w:rsidRDefault="00502E1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1B" w:rsidRDefault="00502E1B" w:rsidP="00E014C1">
      <w:r>
        <w:separator/>
      </w:r>
    </w:p>
  </w:footnote>
  <w:footnote w:type="continuationSeparator" w:id="0">
    <w:p w:rsidR="00502E1B" w:rsidRDefault="00502E1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C2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52B7"/>
    <w:multiLevelType w:val="multilevel"/>
    <w:tmpl w:val="4C584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02E1B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EB06F2"/>
    <w:rsid w:val="00ED72C2"/>
    <w:rsid w:val="00F5162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39F3-50B9-47F0-BEA4-4B5126C9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EB06F2"/>
    <w:pPr>
      <w:ind w:left="720"/>
      <w:contextualSpacing/>
    </w:pPr>
    <w:rPr>
      <w:lang w:eastAsia="lt-LT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EB06F2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EB06F2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listparagraph">
    <w:name w:val="listparagraph"/>
    <w:basedOn w:val="prastasis"/>
    <w:rsid w:val="00EB06F2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2016-11-29T07:25:00Z</dcterms:created>
  <dcterms:modified xsi:type="dcterms:W3CDTF">2016-11-29T07:25:00Z</dcterms:modified>
</cp:coreProperties>
</file>